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FB69A" w14:textId="31EB47E2" w:rsidR="00A02B66" w:rsidRPr="00363146" w:rsidRDefault="004C7FEE" w:rsidP="004C7FEE">
      <w:pPr>
        <w:pBdr>
          <w:bottom w:val="single" w:sz="6" w:space="1" w:color="auto"/>
        </w:pBdr>
        <w:rPr>
          <w:rFonts w:ascii="Times New Roman" w:hAnsi="Times New Roman" w:cs="Times New Roman"/>
          <w:lang w:val="en-US"/>
        </w:rPr>
      </w:pPr>
      <w:r w:rsidRPr="00363146">
        <w:rPr>
          <w:rFonts w:ascii="Times New Roman" w:hAnsi="Times New Roman" w:cs="Times New Roman"/>
          <w:b/>
          <w:bCs/>
          <w:sz w:val="36"/>
          <w:szCs w:val="36"/>
          <w:lang w:val="en-US"/>
        </w:rPr>
        <w:t xml:space="preserve">Large Property Owners and Tensioned Housing Areas: </w:t>
      </w:r>
      <w:proofErr w:type="gramStart"/>
      <w:r w:rsidRPr="00363146">
        <w:rPr>
          <w:rFonts w:ascii="Times New Roman" w:hAnsi="Times New Roman" w:cs="Times New Roman"/>
          <w:b/>
          <w:bCs/>
          <w:sz w:val="36"/>
          <w:szCs w:val="36"/>
          <w:lang w:val="en-US"/>
        </w:rPr>
        <w:t>the</w:t>
      </w:r>
      <w:proofErr w:type="gramEnd"/>
      <w:r w:rsidRPr="00363146">
        <w:rPr>
          <w:rFonts w:ascii="Times New Roman" w:hAnsi="Times New Roman" w:cs="Times New Roman"/>
          <w:b/>
          <w:bCs/>
          <w:sz w:val="36"/>
          <w:szCs w:val="36"/>
          <w:lang w:val="en-US"/>
        </w:rPr>
        <w:t xml:space="preserve"> New Housing Context in Catalonia</w:t>
      </w:r>
    </w:p>
    <w:p w14:paraId="483717B3" w14:textId="77777777" w:rsidR="004C7FEE" w:rsidRPr="00363146" w:rsidRDefault="004C7FEE" w:rsidP="004C7FEE">
      <w:pPr>
        <w:rPr>
          <w:rFonts w:ascii="Times New Roman" w:hAnsi="Times New Roman" w:cs="Times New Roman"/>
          <w:lang w:val="en-US"/>
        </w:rPr>
      </w:pPr>
    </w:p>
    <w:p w14:paraId="7C8E4B9F" w14:textId="2A318138"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The housing market in Catalonia is undergoing a significant change. On the one hand, the declaration of </w:t>
      </w:r>
      <w:r w:rsidRPr="00363146">
        <w:rPr>
          <w:rFonts w:ascii="Times New Roman" w:hAnsi="Times New Roman" w:cs="Times New Roman"/>
          <w:i/>
          <w:iCs/>
          <w:lang w:val="en-US"/>
        </w:rPr>
        <w:t>tensioned residential market areas</w:t>
      </w:r>
      <w:r w:rsidRPr="00363146">
        <w:rPr>
          <w:rFonts w:ascii="Times New Roman" w:hAnsi="Times New Roman" w:cs="Times New Roman"/>
          <w:lang w:val="en-US"/>
        </w:rPr>
        <w:t> has introduced limits on rental prices in municipalities where access to housing has become particularly difficult.</w:t>
      </w:r>
    </w:p>
    <w:p w14:paraId="63715BE5" w14:textId="77777777" w:rsidR="004C7FEE" w:rsidRPr="00363146" w:rsidRDefault="004C7FEE" w:rsidP="004C7FEE">
      <w:pPr>
        <w:rPr>
          <w:rFonts w:ascii="Times New Roman" w:hAnsi="Times New Roman" w:cs="Times New Roman"/>
          <w:lang w:val="en-US"/>
        </w:rPr>
      </w:pPr>
    </w:p>
    <w:p w14:paraId="79F8022D" w14:textId="77777777"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 xml:space="preserve">On the other hand, the Government of Catalonia (Generalitat) has redefined the concept of the large property owner, </w:t>
      </w:r>
      <w:proofErr w:type="gramStart"/>
      <w:r w:rsidRPr="00363146">
        <w:rPr>
          <w:rFonts w:ascii="Times New Roman" w:hAnsi="Times New Roman" w:cs="Times New Roman"/>
          <w:lang w:val="en-US"/>
        </w:rPr>
        <w:t>expanding</w:t>
      </w:r>
      <w:proofErr w:type="gramEnd"/>
      <w:r w:rsidRPr="00363146">
        <w:rPr>
          <w:rFonts w:ascii="Times New Roman" w:hAnsi="Times New Roman" w:cs="Times New Roman"/>
          <w:lang w:val="en-US"/>
        </w:rPr>
        <w:t xml:space="preserve"> their obligations and creating a specific registry to identify these owners.</w:t>
      </w:r>
    </w:p>
    <w:p w14:paraId="298D7F5C" w14:textId="77777777" w:rsidR="004C7FEE" w:rsidRPr="00363146" w:rsidRDefault="004C7FEE" w:rsidP="004C7FEE">
      <w:pPr>
        <w:rPr>
          <w:rFonts w:ascii="Times New Roman" w:hAnsi="Times New Roman" w:cs="Times New Roman"/>
          <w:lang w:val="en-US"/>
        </w:rPr>
      </w:pPr>
    </w:p>
    <w:p w14:paraId="590DFBAB" w14:textId="1D85BE6D" w:rsidR="00A02B66" w:rsidRPr="00363146" w:rsidRDefault="004C7FEE" w:rsidP="00A02B66">
      <w:pPr>
        <w:rPr>
          <w:rFonts w:ascii="Times New Roman" w:hAnsi="Times New Roman" w:cs="Times New Roman"/>
          <w:lang w:val="en-US"/>
        </w:rPr>
      </w:pPr>
      <w:r w:rsidRPr="00363146">
        <w:rPr>
          <w:rFonts w:ascii="Times New Roman" w:hAnsi="Times New Roman" w:cs="Times New Roman"/>
          <w:lang w:val="en-US"/>
        </w:rPr>
        <w:t>Both concepts (tensioned residential market areas and large property owners) are closely linked and are essential to understanding the new housing framework in Catalonia</w:t>
      </w:r>
      <w:r w:rsidR="00A02B66" w:rsidRPr="00363146">
        <w:rPr>
          <w:rFonts w:ascii="Times New Roman" w:hAnsi="Times New Roman" w:cs="Times New Roman"/>
          <w:lang w:val="en-US"/>
        </w:rPr>
        <w:t>.</w:t>
      </w:r>
    </w:p>
    <w:p w14:paraId="2014CF77" w14:textId="77777777" w:rsidR="00A02B66" w:rsidRPr="00363146" w:rsidRDefault="00A02B66" w:rsidP="00A02B66">
      <w:pPr>
        <w:rPr>
          <w:rFonts w:ascii="Times New Roman" w:hAnsi="Times New Roman" w:cs="Times New Roman"/>
          <w:lang w:val="en-US"/>
        </w:rPr>
      </w:pPr>
    </w:p>
    <w:p w14:paraId="16A407E2" w14:textId="77777777" w:rsidR="004C7FEE" w:rsidRPr="00363146" w:rsidRDefault="004C7FEE" w:rsidP="004C7FEE">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t>WHAT DOES IT MEAN TO BE A “LARGE PROPERTY OWNER”?</w:t>
      </w:r>
    </w:p>
    <w:p w14:paraId="63FA3B55" w14:textId="77777777"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The Government of Catalonia defines a large property owner as any individual or legal entity that owns a certain number of dwellings or a built residential surface area exceeding the limits established by current regulations.</w:t>
      </w:r>
    </w:p>
    <w:p w14:paraId="61B6FA8E" w14:textId="77777777" w:rsidR="00A02B66" w:rsidRPr="00363146" w:rsidRDefault="00A02B66" w:rsidP="00A02B66">
      <w:pPr>
        <w:rPr>
          <w:rFonts w:ascii="Times New Roman" w:hAnsi="Times New Roman" w:cs="Times New Roman"/>
          <w:b/>
          <w:bCs/>
          <w:lang w:val="en-US"/>
        </w:rPr>
      </w:pPr>
    </w:p>
    <w:p w14:paraId="4929C898" w14:textId="77777777" w:rsidR="004C7FEE" w:rsidRPr="00363146" w:rsidRDefault="004C7FEE" w:rsidP="004C7FEE">
      <w:pPr>
        <w:rPr>
          <w:rFonts w:ascii="Times New Roman" w:hAnsi="Times New Roman" w:cs="Times New Roman"/>
          <w:b/>
          <w:bCs/>
          <w:lang w:val="en-US"/>
        </w:rPr>
      </w:pPr>
      <w:r w:rsidRPr="00363146">
        <w:rPr>
          <w:rFonts w:ascii="Times New Roman" w:hAnsi="Times New Roman" w:cs="Times New Roman"/>
          <w:b/>
          <w:bCs/>
          <w:lang w:val="en-US"/>
        </w:rPr>
        <w:t>In general, a person is considered a large property owner in Catalonia if they own:</w:t>
      </w:r>
    </w:p>
    <w:p w14:paraId="630142B0" w14:textId="77777777" w:rsidR="004C7FEE" w:rsidRPr="00363146" w:rsidRDefault="004C7FEE" w:rsidP="004C7FEE">
      <w:pPr>
        <w:numPr>
          <w:ilvl w:val="0"/>
          <w:numId w:val="25"/>
        </w:numPr>
        <w:rPr>
          <w:rFonts w:ascii="Times New Roman" w:hAnsi="Times New Roman" w:cs="Times New Roman"/>
          <w:lang w:val="en-US"/>
        </w:rPr>
      </w:pPr>
      <w:r w:rsidRPr="00363146">
        <w:rPr>
          <w:rFonts w:ascii="Times New Roman" w:hAnsi="Times New Roman" w:cs="Times New Roman"/>
          <w:b/>
          <w:bCs/>
          <w:lang w:val="en-US"/>
        </w:rPr>
        <w:t>Five or more dwellings</w:t>
      </w:r>
      <w:r w:rsidRPr="00363146">
        <w:rPr>
          <w:rFonts w:ascii="Times New Roman" w:hAnsi="Times New Roman" w:cs="Times New Roman"/>
          <w:lang w:val="en-US"/>
        </w:rPr>
        <w:t> located in municipalities declared as tensioned residential market areas.</w:t>
      </w:r>
    </w:p>
    <w:p w14:paraId="4268411D" w14:textId="77777777" w:rsidR="004C7FEE" w:rsidRPr="00363146" w:rsidRDefault="004C7FEE" w:rsidP="004C7FEE">
      <w:pPr>
        <w:numPr>
          <w:ilvl w:val="0"/>
          <w:numId w:val="25"/>
        </w:numPr>
        <w:rPr>
          <w:rFonts w:ascii="Times New Roman" w:hAnsi="Times New Roman" w:cs="Times New Roman"/>
          <w:lang w:val="en-US"/>
        </w:rPr>
      </w:pPr>
      <w:r w:rsidRPr="00363146">
        <w:rPr>
          <w:rFonts w:ascii="Times New Roman" w:hAnsi="Times New Roman" w:cs="Times New Roman"/>
          <w:b/>
          <w:bCs/>
          <w:lang w:val="en-US"/>
        </w:rPr>
        <w:t>More than 10 dwellings</w:t>
      </w:r>
      <w:r w:rsidRPr="00363146">
        <w:rPr>
          <w:rFonts w:ascii="Times New Roman" w:hAnsi="Times New Roman" w:cs="Times New Roman"/>
          <w:lang w:val="en-US"/>
        </w:rPr>
        <w:t> located in Spanish territory, provided that at least one of them is located within a tensioned area in Catalonia.</w:t>
      </w:r>
    </w:p>
    <w:p w14:paraId="3496D3F2" w14:textId="77777777" w:rsidR="004C7FEE" w:rsidRPr="00363146" w:rsidRDefault="004C7FEE" w:rsidP="004C7FEE">
      <w:pPr>
        <w:numPr>
          <w:ilvl w:val="0"/>
          <w:numId w:val="25"/>
        </w:numPr>
        <w:rPr>
          <w:rFonts w:ascii="Times New Roman" w:hAnsi="Times New Roman" w:cs="Times New Roman"/>
          <w:lang w:val="en-US"/>
        </w:rPr>
      </w:pPr>
      <w:r w:rsidRPr="00363146">
        <w:rPr>
          <w:rFonts w:ascii="Times New Roman" w:hAnsi="Times New Roman" w:cs="Times New Roman"/>
          <w:b/>
          <w:bCs/>
          <w:lang w:val="en-US"/>
        </w:rPr>
        <w:t>More than 1,500 m² of built residential surface area</w:t>
      </w:r>
      <w:r w:rsidRPr="00363146">
        <w:rPr>
          <w:rFonts w:ascii="Times New Roman" w:hAnsi="Times New Roman" w:cs="Times New Roman"/>
          <w:lang w:val="en-US"/>
        </w:rPr>
        <w:t xml:space="preserve">, regardless of the ownership share in each property, if any of them </w:t>
      </w:r>
      <w:proofErr w:type="gramStart"/>
      <w:r w:rsidRPr="00363146">
        <w:rPr>
          <w:rFonts w:ascii="Times New Roman" w:hAnsi="Times New Roman" w:cs="Times New Roman"/>
          <w:lang w:val="en-US"/>
        </w:rPr>
        <w:t>is located in</w:t>
      </w:r>
      <w:proofErr w:type="gramEnd"/>
      <w:r w:rsidRPr="00363146">
        <w:rPr>
          <w:rFonts w:ascii="Times New Roman" w:hAnsi="Times New Roman" w:cs="Times New Roman"/>
          <w:lang w:val="en-US"/>
        </w:rPr>
        <w:t xml:space="preserve"> a municipality declared as tensioned.</w:t>
      </w:r>
    </w:p>
    <w:p w14:paraId="4207CED9" w14:textId="77777777" w:rsidR="00A02B66" w:rsidRPr="00363146" w:rsidRDefault="00A02B66" w:rsidP="00A02B66">
      <w:pPr>
        <w:rPr>
          <w:rFonts w:ascii="Times New Roman" w:hAnsi="Times New Roman" w:cs="Times New Roman"/>
          <w:b/>
          <w:bCs/>
          <w:lang w:val="en-US"/>
        </w:rPr>
      </w:pPr>
    </w:p>
    <w:p w14:paraId="69497084" w14:textId="77777777" w:rsidR="00A02B66" w:rsidRPr="00363146" w:rsidRDefault="00A02B66" w:rsidP="00A02B66">
      <w:pPr>
        <w:rPr>
          <w:rFonts w:ascii="Times New Roman" w:hAnsi="Times New Roman" w:cs="Times New Roman"/>
          <w:b/>
          <w:bCs/>
          <w:lang w:val="en-US"/>
        </w:rPr>
      </w:pPr>
    </w:p>
    <w:p w14:paraId="44E21544" w14:textId="77777777" w:rsidR="00A02B66" w:rsidRPr="00363146" w:rsidRDefault="00A02B66" w:rsidP="00A02B66">
      <w:pPr>
        <w:rPr>
          <w:rFonts w:ascii="Times New Roman" w:hAnsi="Times New Roman" w:cs="Times New Roman"/>
          <w:b/>
          <w:bCs/>
          <w:lang w:val="en-US"/>
        </w:rPr>
      </w:pPr>
    </w:p>
    <w:p w14:paraId="07112FE8" w14:textId="77777777" w:rsidR="00A02B66" w:rsidRPr="00363146" w:rsidRDefault="00A02B66" w:rsidP="00A02B66">
      <w:pPr>
        <w:rPr>
          <w:rFonts w:ascii="Times New Roman" w:hAnsi="Times New Roman" w:cs="Times New Roman"/>
          <w:b/>
          <w:bCs/>
          <w:lang w:val="en-US"/>
        </w:rPr>
      </w:pPr>
    </w:p>
    <w:p w14:paraId="2DE52774" w14:textId="77777777" w:rsidR="00A02B66" w:rsidRPr="00363146" w:rsidRDefault="00A02B66" w:rsidP="00A02B66">
      <w:pPr>
        <w:rPr>
          <w:rFonts w:ascii="Times New Roman" w:hAnsi="Times New Roman" w:cs="Times New Roman"/>
          <w:b/>
          <w:bCs/>
          <w:lang w:val="en-US"/>
        </w:rPr>
      </w:pPr>
    </w:p>
    <w:p w14:paraId="42671431" w14:textId="77777777" w:rsidR="00A02B66" w:rsidRPr="00363146" w:rsidRDefault="00A02B66" w:rsidP="00A02B66">
      <w:pPr>
        <w:rPr>
          <w:rFonts w:ascii="Times New Roman" w:hAnsi="Times New Roman" w:cs="Times New Roman"/>
          <w:b/>
          <w:bCs/>
          <w:lang w:val="en-US"/>
        </w:rPr>
      </w:pPr>
    </w:p>
    <w:p w14:paraId="166464FF" w14:textId="77777777" w:rsidR="004C7FEE" w:rsidRPr="00363146" w:rsidRDefault="004C7FEE" w:rsidP="004C7FEE">
      <w:pPr>
        <w:rPr>
          <w:rFonts w:ascii="Times New Roman" w:hAnsi="Times New Roman" w:cs="Times New Roman"/>
          <w:b/>
          <w:bCs/>
          <w:u w:val="single"/>
          <w:lang w:val="en-US"/>
        </w:rPr>
      </w:pPr>
      <w:r w:rsidRPr="00363146">
        <w:rPr>
          <w:rFonts w:ascii="Times New Roman" w:hAnsi="Times New Roman" w:cs="Times New Roman"/>
          <w:b/>
          <w:bCs/>
          <w:u w:val="single"/>
          <w:lang w:val="en-US"/>
        </w:rPr>
        <w:t>Difference Between Tensioned and Non-Tensioned Areas</w:t>
      </w:r>
    </w:p>
    <w:p w14:paraId="2F3FD376" w14:textId="77777777"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The regulations distinguish between municipalities declared as </w:t>
      </w:r>
      <w:r w:rsidRPr="00363146">
        <w:rPr>
          <w:rFonts w:ascii="Times New Roman" w:hAnsi="Times New Roman" w:cs="Times New Roman"/>
          <w:b/>
          <w:bCs/>
          <w:lang w:val="en-US"/>
        </w:rPr>
        <w:t>tensioned areas</w:t>
      </w:r>
      <w:r w:rsidRPr="00363146">
        <w:rPr>
          <w:rFonts w:ascii="Times New Roman" w:hAnsi="Times New Roman" w:cs="Times New Roman"/>
          <w:lang w:val="en-US"/>
        </w:rPr>
        <w:t> and those that are not, as the thresholds differ.</w:t>
      </w:r>
    </w:p>
    <w:p w14:paraId="2E6656DD" w14:textId="77777777" w:rsidR="00A02B66" w:rsidRPr="00363146" w:rsidRDefault="00A02B66" w:rsidP="00A02B66">
      <w:pPr>
        <w:rPr>
          <w:lang w:val="en-US"/>
        </w:rPr>
      </w:pPr>
    </w:p>
    <w:tbl>
      <w:tblPr>
        <w:tblStyle w:val="Tablaconcuadrcula"/>
        <w:tblpPr w:leftFromText="141" w:rightFromText="141" w:vertAnchor="text" w:horzAnchor="margin" w:tblpXSpec="center" w:tblpY="-44"/>
        <w:tblW w:w="9493" w:type="dxa"/>
        <w:tblLook w:val="04A0" w:firstRow="1" w:lastRow="0" w:firstColumn="1" w:lastColumn="0" w:noHBand="0" w:noVBand="1"/>
      </w:tblPr>
      <w:tblGrid>
        <w:gridCol w:w="4677"/>
        <w:gridCol w:w="4816"/>
      </w:tblGrid>
      <w:tr w:rsidR="00A02B66" w:rsidRPr="00363146" w14:paraId="1457E2B4" w14:textId="77777777" w:rsidTr="00F9069C">
        <w:trPr>
          <w:trHeight w:val="402"/>
        </w:trPr>
        <w:tc>
          <w:tcPr>
            <w:tcW w:w="4677" w:type="dxa"/>
            <w:shd w:val="clear" w:color="auto" w:fill="E8E8E8" w:themeFill="background2"/>
          </w:tcPr>
          <w:p w14:paraId="271F32E7" w14:textId="58ADCF2B" w:rsidR="00A02B66" w:rsidRPr="00363146" w:rsidRDefault="004C7FEE" w:rsidP="00F9069C">
            <w:pPr>
              <w:rPr>
                <w:rFonts w:ascii="Times New Roman" w:hAnsi="Times New Roman" w:cs="Times New Roman"/>
                <w:b/>
                <w:bCs/>
                <w:lang w:val="en-US"/>
              </w:rPr>
            </w:pPr>
            <w:r w:rsidRPr="00363146">
              <w:rPr>
                <w:rFonts w:ascii="Times New Roman" w:hAnsi="Times New Roman" w:cs="Times New Roman"/>
                <w:b/>
                <w:bCs/>
                <w:lang w:val="en-US"/>
              </w:rPr>
              <w:t>NON-TENSIONED AREAS</w:t>
            </w:r>
          </w:p>
        </w:tc>
        <w:tc>
          <w:tcPr>
            <w:tcW w:w="4816" w:type="dxa"/>
            <w:shd w:val="clear" w:color="auto" w:fill="E8E8E8" w:themeFill="background2"/>
          </w:tcPr>
          <w:p w14:paraId="72F0A0DB" w14:textId="37514AF4" w:rsidR="00A02B66" w:rsidRPr="00363146" w:rsidRDefault="004C7FEE" w:rsidP="00F9069C">
            <w:pPr>
              <w:rPr>
                <w:rFonts w:ascii="Times New Roman" w:hAnsi="Times New Roman" w:cs="Times New Roman"/>
                <w:b/>
                <w:bCs/>
                <w:lang w:val="en-US"/>
              </w:rPr>
            </w:pPr>
            <w:r w:rsidRPr="00363146">
              <w:rPr>
                <w:rFonts w:ascii="Times New Roman" w:hAnsi="Times New Roman" w:cs="Times New Roman"/>
                <w:b/>
                <w:bCs/>
                <w:lang w:val="en-US"/>
              </w:rPr>
              <w:t>TENSIONED AREAS</w:t>
            </w:r>
          </w:p>
        </w:tc>
      </w:tr>
      <w:tr w:rsidR="00A02B66" w:rsidRPr="00363146" w14:paraId="411C16EF" w14:textId="77777777" w:rsidTr="004C7FEE">
        <w:trPr>
          <w:trHeight w:val="6522"/>
        </w:trPr>
        <w:tc>
          <w:tcPr>
            <w:tcW w:w="4677" w:type="dxa"/>
          </w:tcPr>
          <w:p w14:paraId="5A808630" w14:textId="77777777" w:rsidR="004C7FEE" w:rsidRPr="00363146" w:rsidRDefault="004C7FEE" w:rsidP="004C7FEE">
            <w:pPr>
              <w:spacing w:line="276" w:lineRule="auto"/>
              <w:jc w:val="left"/>
              <w:rPr>
                <w:rFonts w:ascii="Times New Roman" w:hAnsi="Times New Roman" w:cs="Times New Roman"/>
                <w:lang w:val="en-US"/>
              </w:rPr>
            </w:pPr>
            <w:r w:rsidRPr="00363146">
              <w:rPr>
                <w:rFonts w:ascii="Times New Roman" w:hAnsi="Times New Roman" w:cs="Times New Roman"/>
                <w:lang w:val="en-US"/>
              </w:rPr>
              <w:t>A person is considered a large property owner if they own:</w:t>
            </w:r>
          </w:p>
          <w:p w14:paraId="0FA8C51E" w14:textId="77777777" w:rsidR="004C7FEE" w:rsidRPr="00363146" w:rsidRDefault="004C7FEE" w:rsidP="004C7FEE">
            <w:pPr>
              <w:numPr>
                <w:ilvl w:val="0"/>
                <w:numId w:val="26"/>
              </w:numPr>
              <w:spacing w:line="276" w:lineRule="auto"/>
              <w:jc w:val="left"/>
              <w:rPr>
                <w:rFonts w:ascii="Times New Roman" w:hAnsi="Times New Roman" w:cs="Times New Roman"/>
                <w:lang w:val="en-US"/>
              </w:rPr>
            </w:pPr>
            <w:r w:rsidRPr="00363146">
              <w:rPr>
                <w:rFonts w:ascii="Times New Roman" w:hAnsi="Times New Roman" w:cs="Times New Roman"/>
                <w:b/>
                <w:bCs/>
                <w:lang w:val="en-US"/>
              </w:rPr>
              <w:t>11 or more dwellings</w:t>
            </w:r>
            <w:r w:rsidRPr="00363146">
              <w:rPr>
                <w:rFonts w:ascii="Times New Roman" w:hAnsi="Times New Roman" w:cs="Times New Roman"/>
                <w:lang w:val="en-US"/>
              </w:rPr>
              <w:t>, or</w:t>
            </w:r>
          </w:p>
          <w:p w14:paraId="589ED608" w14:textId="77777777" w:rsidR="004C7FEE" w:rsidRPr="00363146" w:rsidRDefault="004C7FEE" w:rsidP="004C7FEE">
            <w:pPr>
              <w:numPr>
                <w:ilvl w:val="0"/>
                <w:numId w:val="26"/>
              </w:numPr>
              <w:spacing w:line="276" w:lineRule="auto"/>
              <w:jc w:val="left"/>
              <w:rPr>
                <w:rFonts w:ascii="Times New Roman" w:hAnsi="Times New Roman" w:cs="Times New Roman"/>
                <w:lang w:val="en-US"/>
              </w:rPr>
            </w:pPr>
            <w:r w:rsidRPr="00363146">
              <w:rPr>
                <w:rFonts w:ascii="Times New Roman" w:hAnsi="Times New Roman" w:cs="Times New Roman"/>
                <w:b/>
                <w:bCs/>
                <w:lang w:val="en-US"/>
              </w:rPr>
              <w:t>More than 1,500 m² of built residential surface area</w:t>
            </w:r>
            <w:r w:rsidRPr="00363146">
              <w:rPr>
                <w:rFonts w:ascii="Times New Roman" w:hAnsi="Times New Roman" w:cs="Times New Roman"/>
                <w:lang w:val="en-US"/>
              </w:rPr>
              <w:t>.</w:t>
            </w:r>
          </w:p>
          <w:p w14:paraId="5C666726" w14:textId="77777777" w:rsidR="004C7FEE" w:rsidRPr="00363146" w:rsidRDefault="004C7FEE" w:rsidP="004C7FEE">
            <w:pPr>
              <w:spacing w:line="276" w:lineRule="auto"/>
              <w:ind w:left="720"/>
              <w:jc w:val="left"/>
              <w:rPr>
                <w:rFonts w:ascii="Times New Roman" w:hAnsi="Times New Roman" w:cs="Times New Roman"/>
                <w:lang w:val="en-US"/>
              </w:rPr>
            </w:pPr>
          </w:p>
          <w:p w14:paraId="6085CB58" w14:textId="77777777" w:rsidR="004C7FEE" w:rsidRPr="00363146" w:rsidRDefault="004C7FEE" w:rsidP="004C7FEE">
            <w:pPr>
              <w:spacing w:line="276" w:lineRule="auto"/>
              <w:jc w:val="left"/>
              <w:rPr>
                <w:rFonts w:ascii="Times New Roman" w:hAnsi="Times New Roman" w:cs="Times New Roman"/>
                <w:lang w:val="en-US"/>
              </w:rPr>
            </w:pPr>
            <w:r w:rsidRPr="00363146">
              <w:rPr>
                <w:rFonts w:ascii="Times New Roman" w:hAnsi="Times New Roman" w:cs="Times New Roman"/>
                <w:b/>
                <w:bCs/>
                <w:lang w:val="en-US"/>
              </w:rPr>
              <w:t>If a person is a co-owner of a dwelling, how is the number of dwellings calculated?</w:t>
            </w:r>
          </w:p>
          <w:p w14:paraId="07D6D207" w14:textId="77777777" w:rsidR="004C7FEE" w:rsidRPr="00363146" w:rsidRDefault="004C7FEE" w:rsidP="004C7FEE">
            <w:pPr>
              <w:numPr>
                <w:ilvl w:val="0"/>
                <w:numId w:val="27"/>
              </w:numPr>
              <w:spacing w:line="276" w:lineRule="auto"/>
              <w:jc w:val="left"/>
              <w:rPr>
                <w:rFonts w:ascii="Times New Roman" w:hAnsi="Times New Roman" w:cs="Times New Roman"/>
                <w:lang w:val="en-US"/>
              </w:rPr>
            </w:pPr>
            <w:r w:rsidRPr="00363146">
              <w:rPr>
                <w:rFonts w:ascii="Times New Roman" w:hAnsi="Times New Roman" w:cs="Times New Roman"/>
                <w:lang w:val="en-US"/>
              </w:rPr>
              <w:t>If they own </w:t>
            </w:r>
            <w:r w:rsidRPr="00363146">
              <w:rPr>
                <w:rFonts w:ascii="Times New Roman" w:hAnsi="Times New Roman" w:cs="Times New Roman"/>
                <w:b/>
                <w:bCs/>
                <w:lang w:val="en-US"/>
              </w:rPr>
              <w:t>more than 50%</w:t>
            </w:r>
            <w:r w:rsidRPr="00363146">
              <w:rPr>
                <w:rFonts w:ascii="Times New Roman" w:hAnsi="Times New Roman" w:cs="Times New Roman"/>
                <w:lang w:val="en-US"/>
              </w:rPr>
              <w:t> of a dwelling, it counts as </w:t>
            </w:r>
            <w:r w:rsidRPr="00363146">
              <w:rPr>
                <w:rFonts w:ascii="Times New Roman" w:hAnsi="Times New Roman" w:cs="Times New Roman"/>
                <w:b/>
                <w:bCs/>
                <w:lang w:val="en-US"/>
              </w:rPr>
              <w:t>one dwelling</w:t>
            </w:r>
            <w:r w:rsidRPr="00363146">
              <w:rPr>
                <w:rFonts w:ascii="Times New Roman" w:hAnsi="Times New Roman" w:cs="Times New Roman"/>
                <w:lang w:val="en-US"/>
              </w:rPr>
              <w:t>.</w:t>
            </w:r>
          </w:p>
          <w:p w14:paraId="57440EF6" w14:textId="77777777" w:rsidR="004C7FEE" w:rsidRPr="00363146" w:rsidRDefault="004C7FEE" w:rsidP="004C7FEE">
            <w:pPr>
              <w:numPr>
                <w:ilvl w:val="0"/>
                <w:numId w:val="27"/>
              </w:numPr>
              <w:spacing w:line="276" w:lineRule="auto"/>
              <w:jc w:val="left"/>
              <w:rPr>
                <w:rFonts w:ascii="Times New Roman" w:hAnsi="Times New Roman" w:cs="Times New Roman"/>
                <w:lang w:val="en-US"/>
              </w:rPr>
            </w:pPr>
            <w:r w:rsidRPr="00363146">
              <w:rPr>
                <w:rFonts w:ascii="Times New Roman" w:hAnsi="Times New Roman" w:cs="Times New Roman"/>
                <w:lang w:val="en-US"/>
              </w:rPr>
              <w:t>If they own </w:t>
            </w:r>
            <w:r w:rsidRPr="00363146">
              <w:rPr>
                <w:rFonts w:ascii="Times New Roman" w:hAnsi="Times New Roman" w:cs="Times New Roman"/>
                <w:b/>
                <w:bCs/>
                <w:lang w:val="en-US"/>
              </w:rPr>
              <w:t>50% or less</w:t>
            </w:r>
            <w:r w:rsidRPr="00363146">
              <w:rPr>
                <w:rFonts w:ascii="Times New Roman" w:hAnsi="Times New Roman" w:cs="Times New Roman"/>
                <w:lang w:val="en-US"/>
              </w:rPr>
              <w:t> of different dwellings, the </w:t>
            </w:r>
            <w:r w:rsidRPr="00363146">
              <w:rPr>
                <w:rFonts w:ascii="Times New Roman" w:hAnsi="Times New Roman" w:cs="Times New Roman"/>
                <w:b/>
                <w:bCs/>
                <w:lang w:val="en-US"/>
              </w:rPr>
              <w:t>sum of the ownership shares</w:t>
            </w:r>
            <w:r w:rsidRPr="00363146">
              <w:rPr>
                <w:rFonts w:ascii="Times New Roman" w:hAnsi="Times New Roman" w:cs="Times New Roman"/>
                <w:lang w:val="en-US"/>
              </w:rPr>
              <w:t> must exceed </w:t>
            </w:r>
            <w:r w:rsidRPr="00363146">
              <w:rPr>
                <w:rFonts w:ascii="Times New Roman" w:hAnsi="Times New Roman" w:cs="Times New Roman"/>
                <w:b/>
                <w:bCs/>
                <w:lang w:val="en-US"/>
              </w:rPr>
              <w:t>1,500 m² of built residential surface area</w:t>
            </w:r>
            <w:r w:rsidRPr="00363146">
              <w:rPr>
                <w:rFonts w:ascii="Times New Roman" w:hAnsi="Times New Roman" w:cs="Times New Roman"/>
                <w:lang w:val="en-US"/>
              </w:rPr>
              <w:t>.</w:t>
            </w:r>
          </w:p>
          <w:p w14:paraId="4DAB7D34" w14:textId="637A5256" w:rsidR="00A02B66" w:rsidRPr="00363146" w:rsidRDefault="004C7FEE" w:rsidP="004C7FEE">
            <w:pPr>
              <w:numPr>
                <w:ilvl w:val="0"/>
                <w:numId w:val="27"/>
              </w:numPr>
              <w:spacing w:line="276" w:lineRule="auto"/>
              <w:jc w:val="left"/>
              <w:rPr>
                <w:rFonts w:ascii="Times New Roman" w:hAnsi="Times New Roman" w:cs="Times New Roman"/>
                <w:lang w:val="en-US"/>
              </w:rPr>
            </w:pPr>
            <w:r w:rsidRPr="00363146">
              <w:rPr>
                <w:rFonts w:ascii="Times New Roman" w:hAnsi="Times New Roman" w:cs="Times New Roman"/>
                <w:lang w:val="en-US"/>
              </w:rPr>
              <w:t>If they are the </w:t>
            </w:r>
            <w:r w:rsidRPr="00363146">
              <w:rPr>
                <w:rFonts w:ascii="Times New Roman" w:hAnsi="Times New Roman" w:cs="Times New Roman"/>
                <w:b/>
                <w:bCs/>
                <w:lang w:val="en-US"/>
              </w:rPr>
              <w:t>sole owner of some dwellings and a co-owner of others</w:t>
            </w:r>
            <w:r w:rsidRPr="00363146">
              <w:rPr>
                <w:rFonts w:ascii="Times New Roman" w:hAnsi="Times New Roman" w:cs="Times New Roman"/>
                <w:lang w:val="en-US"/>
              </w:rPr>
              <w:t>, the </w:t>
            </w:r>
            <w:r w:rsidRPr="00363146">
              <w:rPr>
                <w:rFonts w:ascii="Times New Roman" w:hAnsi="Times New Roman" w:cs="Times New Roman"/>
                <w:b/>
                <w:bCs/>
                <w:lang w:val="en-US"/>
              </w:rPr>
              <w:t>sum of the built surface areas of all dwellings</w:t>
            </w:r>
            <w:r w:rsidRPr="00363146">
              <w:rPr>
                <w:rFonts w:ascii="Times New Roman" w:hAnsi="Times New Roman" w:cs="Times New Roman"/>
                <w:lang w:val="en-US"/>
              </w:rPr>
              <w:t> must exceed </w:t>
            </w:r>
            <w:r w:rsidRPr="00363146">
              <w:rPr>
                <w:rFonts w:ascii="Times New Roman" w:hAnsi="Times New Roman" w:cs="Times New Roman"/>
                <w:b/>
                <w:bCs/>
                <w:lang w:val="en-US"/>
              </w:rPr>
              <w:t>1,500 m²</w:t>
            </w:r>
            <w:r w:rsidRPr="00363146">
              <w:rPr>
                <w:rFonts w:ascii="Times New Roman" w:hAnsi="Times New Roman" w:cs="Times New Roman"/>
                <w:lang w:val="en-US"/>
              </w:rPr>
              <w:t>, regardless of the ownership percentage in each.</w:t>
            </w:r>
          </w:p>
        </w:tc>
        <w:tc>
          <w:tcPr>
            <w:tcW w:w="4816" w:type="dxa"/>
          </w:tcPr>
          <w:p w14:paraId="0D4FBA3E" w14:textId="0E2B0E8F" w:rsidR="004C7FEE" w:rsidRPr="00363146" w:rsidRDefault="00FD7162" w:rsidP="004C7FEE">
            <w:pPr>
              <w:spacing w:line="276" w:lineRule="auto"/>
              <w:jc w:val="left"/>
              <w:rPr>
                <w:rFonts w:ascii="Times New Roman" w:eastAsia="Times New Roman" w:hAnsi="Times New Roman" w:cs="Times New Roman"/>
                <w:color w:val="000000"/>
                <w:kern w:val="0"/>
                <w:lang w:val="en-US" w:eastAsia="es-ES_tradnl"/>
                <w14:ligatures w14:val="none"/>
              </w:rPr>
            </w:pPr>
            <w:r>
              <w:rPr>
                <w:rFonts w:ascii="Times New Roman" w:eastAsia="Times New Roman" w:hAnsi="Times New Roman" w:cs="Times New Roman"/>
                <w:color w:val="000000"/>
                <w:kern w:val="0"/>
                <w:lang w:val="en-US" w:eastAsia="es-ES_tradnl"/>
                <w14:ligatures w14:val="none"/>
              </w:rPr>
              <w:t>T</w:t>
            </w:r>
            <w:r w:rsidR="004C7FEE" w:rsidRPr="00363146">
              <w:rPr>
                <w:rFonts w:ascii="Times New Roman" w:eastAsia="Times New Roman" w:hAnsi="Times New Roman" w:cs="Times New Roman"/>
                <w:color w:val="000000"/>
                <w:kern w:val="0"/>
                <w:lang w:val="en-US" w:eastAsia="es-ES_tradnl"/>
                <w14:ligatures w14:val="none"/>
              </w:rPr>
              <w:t>he threshold is reduced, and a person is considered a large property owner if they own:</w:t>
            </w:r>
          </w:p>
          <w:p w14:paraId="46A891BA" w14:textId="77777777" w:rsidR="004C7FEE" w:rsidRPr="00363146" w:rsidRDefault="004C7FEE" w:rsidP="004C7FEE">
            <w:pPr>
              <w:numPr>
                <w:ilvl w:val="0"/>
                <w:numId w:val="28"/>
              </w:num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b/>
                <w:bCs/>
                <w:color w:val="000000"/>
                <w:kern w:val="0"/>
                <w:lang w:val="en-US" w:eastAsia="es-ES_tradnl"/>
                <w14:ligatures w14:val="none"/>
              </w:rPr>
              <w:t>Five or more dwellings</w:t>
            </w:r>
            <w:r w:rsidRPr="00363146">
              <w:rPr>
                <w:rFonts w:ascii="Times New Roman" w:eastAsia="Times New Roman" w:hAnsi="Times New Roman" w:cs="Times New Roman"/>
                <w:color w:val="000000"/>
                <w:kern w:val="0"/>
                <w:lang w:val="en-US" w:eastAsia="es-ES_tradnl"/>
                <w14:ligatures w14:val="none"/>
              </w:rPr>
              <w:t>.</w:t>
            </w:r>
          </w:p>
          <w:p w14:paraId="6C7B6933" w14:textId="77777777" w:rsidR="004C7FEE" w:rsidRPr="00363146" w:rsidRDefault="004C7FEE" w:rsidP="004C7FEE">
            <w:pPr>
              <w:spacing w:line="276" w:lineRule="auto"/>
              <w:jc w:val="left"/>
              <w:rPr>
                <w:rFonts w:ascii="Times New Roman" w:eastAsia="Times New Roman" w:hAnsi="Times New Roman" w:cs="Times New Roman"/>
                <w:b/>
                <w:bCs/>
                <w:color w:val="000000"/>
                <w:kern w:val="0"/>
                <w:lang w:val="en-US" w:eastAsia="es-ES_tradnl"/>
                <w14:ligatures w14:val="none"/>
              </w:rPr>
            </w:pPr>
          </w:p>
          <w:p w14:paraId="4BEB55B1" w14:textId="36977BF6" w:rsidR="004C7FEE" w:rsidRPr="00363146" w:rsidRDefault="004C7FEE" w:rsidP="004C7FEE">
            <w:p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b/>
                <w:bCs/>
                <w:color w:val="000000"/>
                <w:kern w:val="0"/>
                <w:lang w:val="en-US" w:eastAsia="es-ES_tradnl"/>
                <w14:ligatures w14:val="none"/>
              </w:rPr>
              <w:t>If a person is a co-owner of a dwelling, how is the number of dwellings calculated?</w:t>
            </w:r>
          </w:p>
          <w:p w14:paraId="1E433CA6" w14:textId="77777777" w:rsidR="004C7FEE" w:rsidRPr="00363146" w:rsidRDefault="004C7FEE" w:rsidP="004C7FEE">
            <w:pPr>
              <w:numPr>
                <w:ilvl w:val="0"/>
                <w:numId w:val="29"/>
              </w:num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color w:val="000000"/>
                <w:kern w:val="0"/>
                <w:lang w:val="en-US" w:eastAsia="es-ES_tradnl"/>
                <w14:ligatures w14:val="none"/>
              </w:rPr>
              <w:t>If a person owns </w:t>
            </w:r>
            <w:r w:rsidRPr="00363146">
              <w:rPr>
                <w:rFonts w:ascii="Times New Roman" w:eastAsia="Times New Roman" w:hAnsi="Times New Roman" w:cs="Times New Roman"/>
                <w:b/>
                <w:bCs/>
                <w:color w:val="000000"/>
                <w:kern w:val="0"/>
                <w:lang w:val="en-US" w:eastAsia="es-ES_tradnl"/>
                <w14:ligatures w14:val="none"/>
              </w:rPr>
              <w:t>more than 50%</w:t>
            </w:r>
            <w:r w:rsidRPr="00363146">
              <w:rPr>
                <w:rFonts w:ascii="Times New Roman" w:eastAsia="Times New Roman" w:hAnsi="Times New Roman" w:cs="Times New Roman"/>
                <w:color w:val="000000"/>
                <w:kern w:val="0"/>
                <w:lang w:val="en-US" w:eastAsia="es-ES_tradnl"/>
                <w14:ligatures w14:val="none"/>
              </w:rPr>
              <w:t> of a dwelling, it is counted as </w:t>
            </w:r>
            <w:r w:rsidRPr="00363146">
              <w:rPr>
                <w:rFonts w:ascii="Times New Roman" w:eastAsia="Times New Roman" w:hAnsi="Times New Roman" w:cs="Times New Roman"/>
                <w:b/>
                <w:bCs/>
                <w:color w:val="000000"/>
                <w:kern w:val="0"/>
                <w:lang w:val="en-US" w:eastAsia="es-ES_tradnl"/>
                <w14:ligatures w14:val="none"/>
              </w:rPr>
              <w:t>one full dwelling</w:t>
            </w:r>
            <w:r w:rsidRPr="00363146">
              <w:rPr>
                <w:rFonts w:ascii="Times New Roman" w:eastAsia="Times New Roman" w:hAnsi="Times New Roman" w:cs="Times New Roman"/>
                <w:color w:val="000000"/>
                <w:kern w:val="0"/>
                <w:lang w:val="en-US" w:eastAsia="es-ES_tradnl"/>
                <w14:ligatures w14:val="none"/>
              </w:rPr>
              <w:t>.</w:t>
            </w:r>
          </w:p>
          <w:p w14:paraId="147A5B83" w14:textId="77777777" w:rsidR="004C7FEE" w:rsidRPr="00363146" w:rsidRDefault="004C7FEE" w:rsidP="004C7FEE">
            <w:pPr>
              <w:numPr>
                <w:ilvl w:val="0"/>
                <w:numId w:val="29"/>
              </w:num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color w:val="000000"/>
                <w:kern w:val="0"/>
                <w:lang w:val="en-US" w:eastAsia="es-ES_tradnl"/>
                <w14:ligatures w14:val="none"/>
              </w:rPr>
              <w:t>If they own </w:t>
            </w:r>
            <w:r w:rsidRPr="00363146">
              <w:rPr>
                <w:rFonts w:ascii="Times New Roman" w:eastAsia="Times New Roman" w:hAnsi="Times New Roman" w:cs="Times New Roman"/>
                <w:b/>
                <w:bCs/>
                <w:color w:val="000000"/>
                <w:kern w:val="0"/>
                <w:lang w:val="en-US" w:eastAsia="es-ES_tradnl"/>
                <w14:ligatures w14:val="none"/>
              </w:rPr>
              <w:t>50% or less</w:t>
            </w:r>
            <w:r w:rsidRPr="00363146">
              <w:rPr>
                <w:rFonts w:ascii="Times New Roman" w:eastAsia="Times New Roman" w:hAnsi="Times New Roman" w:cs="Times New Roman"/>
                <w:color w:val="000000"/>
                <w:kern w:val="0"/>
                <w:lang w:val="en-US" w:eastAsia="es-ES_tradnl"/>
                <w14:ligatures w14:val="none"/>
              </w:rPr>
              <w:t> of several dwellings, the </w:t>
            </w:r>
            <w:r w:rsidRPr="00363146">
              <w:rPr>
                <w:rFonts w:ascii="Times New Roman" w:eastAsia="Times New Roman" w:hAnsi="Times New Roman" w:cs="Times New Roman"/>
                <w:b/>
                <w:bCs/>
                <w:color w:val="000000"/>
                <w:kern w:val="0"/>
                <w:lang w:val="en-US" w:eastAsia="es-ES_tradnl"/>
                <w14:ligatures w14:val="none"/>
              </w:rPr>
              <w:t>sum of their ownership shares must be equivalent to five full dwellings</w:t>
            </w:r>
            <w:r w:rsidRPr="00363146">
              <w:rPr>
                <w:rFonts w:ascii="Times New Roman" w:eastAsia="Times New Roman" w:hAnsi="Times New Roman" w:cs="Times New Roman"/>
                <w:color w:val="000000"/>
                <w:kern w:val="0"/>
                <w:lang w:val="en-US" w:eastAsia="es-ES_tradnl"/>
                <w14:ligatures w14:val="none"/>
              </w:rPr>
              <w:t>.</w:t>
            </w:r>
          </w:p>
          <w:p w14:paraId="38609291" w14:textId="77777777" w:rsidR="004C7FEE" w:rsidRPr="00363146" w:rsidRDefault="004C7FEE" w:rsidP="004C7FEE">
            <w:pPr>
              <w:spacing w:line="276" w:lineRule="auto"/>
              <w:jc w:val="left"/>
              <w:rPr>
                <w:rFonts w:ascii="Times New Roman" w:eastAsia="Times New Roman" w:hAnsi="Times New Roman" w:cs="Times New Roman"/>
                <w:color w:val="000000"/>
                <w:kern w:val="0"/>
                <w:lang w:val="en-US" w:eastAsia="es-ES_tradnl"/>
                <w14:ligatures w14:val="none"/>
              </w:rPr>
            </w:pPr>
          </w:p>
          <w:p w14:paraId="351574B3" w14:textId="394C1F7B" w:rsidR="004C7FEE" w:rsidRPr="00363146" w:rsidRDefault="004C7FEE" w:rsidP="004C7FEE">
            <w:p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color w:val="000000"/>
                <w:kern w:val="0"/>
                <w:lang w:val="en-US" w:eastAsia="es-ES_tradnl"/>
                <w14:ligatures w14:val="none"/>
              </w:rPr>
              <w:t>Dwellings located in </w:t>
            </w:r>
            <w:r w:rsidRPr="00363146">
              <w:rPr>
                <w:rFonts w:ascii="Times New Roman" w:eastAsia="Times New Roman" w:hAnsi="Times New Roman" w:cs="Times New Roman"/>
                <w:b/>
                <w:bCs/>
                <w:color w:val="000000"/>
                <w:kern w:val="0"/>
                <w:lang w:val="en-US" w:eastAsia="es-ES_tradnl"/>
                <w14:ligatures w14:val="none"/>
              </w:rPr>
              <w:t>different tensioned areas are not accumulated</w:t>
            </w:r>
            <w:r w:rsidRPr="00363146">
              <w:rPr>
                <w:rFonts w:ascii="Times New Roman" w:eastAsia="Times New Roman" w:hAnsi="Times New Roman" w:cs="Times New Roman"/>
                <w:color w:val="000000"/>
                <w:kern w:val="0"/>
                <w:lang w:val="en-US" w:eastAsia="es-ES_tradnl"/>
                <w14:ligatures w14:val="none"/>
              </w:rPr>
              <w:t>. For example, if a person owns four dwellings in one area and one in another, they are not considered a large property owner.</w:t>
            </w:r>
          </w:p>
          <w:p w14:paraId="132AD524" w14:textId="77777777" w:rsidR="004C7FEE" w:rsidRPr="00363146" w:rsidRDefault="004C7FEE" w:rsidP="004C7FEE">
            <w:pPr>
              <w:spacing w:line="276" w:lineRule="auto"/>
              <w:jc w:val="left"/>
              <w:rPr>
                <w:rFonts w:ascii="Times New Roman" w:eastAsia="Times New Roman" w:hAnsi="Times New Roman" w:cs="Times New Roman"/>
                <w:color w:val="000000"/>
                <w:kern w:val="0"/>
                <w:lang w:val="en-US" w:eastAsia="es-ES_tradnl"/>
                <w14:ligatures w14:val="none"/>
              </w:rPr>
            </w:pPr>
            <w:r w:rsidRPr="00363146">
              <w:rPr>
                <w:rFonts w:ascii="Times New Roman" w:eastAsia="Times New Roman" w:hAnsi="Times New Roman" w:cs="Times New Roman"/>
                <w:color w:val="000000"/>
                <w:kern w:val="0"/>
                <w:lang w:val="en-US" w:eastAsia="es-ES_tradnl"/>
                <w14:ligatures w14:val="none"/>
              </w:rPr>
              <w:t>The </w:t>
            </w:r>
            <w:r w:rsidRPr="00363146">
              <w:rPr>
                <w:rFonts w:ascii="Times New Roman" w:eastAsia="Times New Roman" w:hAnsi="Times New Roman" w:cs="Times New Roman"/>
                <w:b/>
                <w:bCs/>
                <w:color w:val="000000"/>
                <w:kern w:val="0"/>
                <w:lang w:val="en-US" w:eastAsia="es-ES_tradnl"/>
                <w14:ligatures w14:val="none"/>
              </w:rPr>
              <w:t>habitual and permanent residence</w:t>
            </w:r>
            <w:r w:rsidRPr="00363146">
              <w:rPr>
                <w:rFonts w:ascii="Times New Roman" w:eastAsia="Times New Roman" w:hAnsi="Times New Roman" w:cs="Times New Roman"/>
                <w:color w:val="000000"/>
                <w:kern w:val="0"/>
                <w:lang w:val="en-US" w:eastAsia="es-ES_tradnl"/>
                <w14:ligatures w14:val="none"/>
              </w:rPr>
              <w:t> of the owner is </w:t>
            </w:r>
            <w:r w:rsidRPr="00363146">
              <w:rPr>
                <w:rFonts w:ascii="Times New Roman" w:eastAsia="Times New Roman" w:hAnsi="Times New Roman" w:cs="Times New Roman"/>
                <w:b/>
                <w:bCs/>
                <w:color w:val="000000"/>
                <w:kern w:val="0"/>
                <w:lang w:val="en-US" w:eastAsia="es-ES_tradnl"/>
                <w14:ligatures w14:val="none"/>
              </w:rPr>
              <w:t>not included</w:t>
            </w:r>
            <w:r w:rsidRPr="00363146">
              <w:rPr>
                <w:rFonts w:ascii="Times New Roman" w:eastAsia="Times New Roman" w:hAnsi="Times New Roman" w:cs="Times New Roman"/>
                <w:color w:val="000000"/>
                <w:kern w:val="0"/>
                <w:lang w:val="en-US" w:eastAsia="es-ES_tradnl"/>
                <w14:ligatures w14:val="none"/>
              </w:rPr>
              <w:t> in the calculation.</w:t>
            </w:r>
          </w:p>
          <w:p w14:paraId="7ACDB816" w14:textId="02FF0AD8" w:rsidR="00A02B66" w:rsidRPr="00363146" w:rsidRDefault="00A02B66" w:rsidP="00A02B66">
            <w:pPr>
              <w:spacing w:line="276" w:lineRule="auto"/>
              <w:jc w:val="left"/>
              <w:rPr>
                <w:rFonts w:ascii="Times New Roman" w:hAnsi="Times New Roman" w:cs="Times New Roman"/>
                <w:lang w:val="en-US"/>
              </w:rPr>
            </w:pPr>
          </w:p>
        </w:tc>
      </w:tr>
    </w:tbl>
    <w:p w14:paraId="6DA89AB9" w14:textId="77777777" w:rsidR="00A02B66" w:rsidRPr="00363146" w:rsidRDefault="00A02B66" w:rsidP="00A02B66">
      <w:pPr>
        <w:pStyle w:val="Ttulo2"/>
        <w:rPr>
          <w:rFonts w:ascii="Times New Roman" w:hAnsi="Times New Roman" w:cs="Times New Roman"/>
          <w:color w:val="auto"/>
          <w:lang w:val="en-US"/>
        </w:rPr>
      </w:pPr>
    </w:p>
    <w:p w14:paraId="7844AB7B" w14:textId="77777777" w:rsidR="00A02B66" w:rsidRPr="00363146" w:rsidRDefault="00A02B66" w:rsidP="00A02B66">
      <w:pPr>
        <w:pStyle w:val="Ttulo2"/>
        <w:rPr>
          <w:rFonts w:ascii="Times New Roman" w:hAnsi="Times New Roman" w:cs="Times New Roman"/>
          <w:color w:val="auto"/>
          <w:lang w:val="en-US"/>
        </w:rPr>
      </w:pPr>
    </w:p>
    <w:p w14:paraId="62786C2C" w14:textId="72625CB7" w:rsidR="004C7FEE" w:rsidRPr="00363146" w:rsidRDefault="004C7FEE" w:rsidP="004C7FEE">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t>WHICH DWELLINGS ARE COUNTED</w:t>
      </w:r>
    </w:p>
    <w:p w14:paraId="46520A76" w14:textId="00380083"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To determine whether a person or entity is considered a </w:t>
      </w:r>
      <w:r w:rsidRPr="00363146">
        <w:rPr>
          <w:rFonts w:ascii="Times New Roman" w:hAnsi="Times New Roman" w:cs="Times New Roman"/>
          <w:b/>
          <w:bCs/>
          <w:lang w:val="en-US"/>
        </w:rPr>
        <w:t>large property owner</w:t>
      </w:r>
      <w:r w:rsidRPr="00363146">
        <w:rPr>
          <w:rFonts w:ascii="Times New Roman" w:hAnsi="Times New Roman" w:cs="Times New Roman"/>
          <w:lang w:val="en-US"/>
        </w:rPr>
        <w:t>, </w:t>
      </w:r>
      <w:r w:rsidRPr="00363146">
        <w:rPr>
          <w:rFonts w:ascii="Times New Roman" w:hAnsi="Times New Roman" w:cs="Times New Roman"/>
          <w:b/>
          <w:bCs/>
          <w:lang w:val="en-US"/>
        </w:rPr>
        <w:t>residential-use properties</w:t>
      </w:r>
      <w:r w:rsidRPr="00363146">
        <w:rPr>
          <w:rFonts w:ascii="Times New Roman" w:hAnsi="Times New Roman" w:cs="Times New Roman"/>
          <w:lang w:val="en-US"/>
        </w:rPr>
        <w:t> owned either in full ownership or under a usufruct right are taken into account, in accordance with </w:t>
      </w:r>
      <w:hyperlink r:id="rId7" w:history="1">
        <w:r w:rsidRPr="00363146">
          <w:rPr>
            <w:rStyle w:val="Hipervnculo"/>
            <w:rFonts w:ascii="Times New Roman" w:hAnsi="Times New Roman" w:cs="Times New Roman"/>
            <w:b/>
            <w:bCs/>
            <w:lang w:val="en-US"/>
          </w:rPr>
          <w:t>Law 12/2023, of 24 May</w:t>
        </w:r>
      </w:hyperlink>
      <w:r w:rsidRPr="00363146">
        <w:rPr>
          <w:rFonts w:ascii="Times New Roman" w:hAnsi="Times New Roman" w:cs="Times New Roman"/>
          <w:b/>
          <w:bCs/>
          <w:lang w:val="en-US"/>
        </w:rPr>
        <w:t>, on the right to housing</w:t>
      </w:r>
      <w:r w:rsidRPr="00363146">
        <w:rPr>
          <w:rFonts w:ascii="Times New Roman" w:hAnsi="Times New Roman" w:cs="Times New Roman"/>
          <w:lang w:val="en-US"/>
        </w:rPr>
        <w:t>, which expressly excludes </w:t>
      </w:r>
      <w:r w:rsidRPr="00363146">
        <w:rPr>
          <w:rFonts w:ascii="Times New Roman" w:hAnsi="Times New Roman" w:cs="Times New Roman"/>
          <w:b/>
          <w:bCs/>
          <w:lang w:val="en-US"/>
        </w:rPr>
        <w:t>garages and storage rooms</w:t>
      </w:r>
      <w:r w:rsidRPr="00363146">
        <w:rPr>
          <w:rFonts w:ascii="Times New Roman" w:hAnsi="Times New Roman" w:cs="Times New Roman"/>
          <w:lang w:val="en-US"/>
        </w:rPr>
        <w:t>.</w:t>
      </w:r>
    </w:p>
    <w:p w14:paraId="65F84517" w14:textId="77777777" w:rsidR="004C7FEE" w:rsidRPr="00363146" w:rsidRDefault="004C7FEE" w:rsidP="004C7FEE">
      <w:pPr>
        <w:rPr>
          <w:rFonts w:ascii="Times New Roman" w:hAnsi="Times New Roman" w:cs="Times New Roman"/>
          <w:lang w:val="en-US"/>
        </w:rPr>
      </w:pPr>
    </w:p>
    <w:p w14:paraId="54682875" w14:textId="77777777" w:rsidR="004C7FEE" w:rsidRPr="00363146" w:rsidRDefault="004C7FEE" w:rsidP="004C7FEE">
      <w:pPr>
        <w:rPr>
          <w:rFonts w:ascii="Times New Roman" w:hAnsi="Times New Roman" w:cs="Times New Roman"/>
          <w:lang w:val="en-US"/>
        </w:rPr>
      </w:pPr>
      <w:r w:rsidRPr="00363146">
        <w:rPr>
          <w:rFonts w:ascii="Times New Roman" w:hAnsi="Times New Roman" w:cs="Times New Roman"/>
          <w:lang w:val="en-US"/>
        </w:rPr>
        <w:t>In Catalonia, complementary regional regulations also exclude </w:t>
      </w:r>
      <w:r w:rsidRPr="00363146">
        <w:rPr>
          <w:rFonts w:ascii="Times New Roman" w:hAnsi="Times New Roman" w:cs="Times New Roman"/>
          <w:b/>
          <w:bCs/>
          <w:lang w:val="en-US"/>
        </w:rPr>
        <w:t xml:space="preserve">protected housing (public or </w:t>
      </w:r>
      <w:proofErr w:type="spellStart"/>
      <w:r w:rsidRPr="00363146">
        <w:rPr>
          <w:rFonts w:ascii="Times New Roman" w:hAnsi="Times New Roman" w:cs="Times New Roman"/>
          <w:b/>
          <w:bCs/>
          <w:lang w:val="en-US"/>
        </w:rPr>
        <w:t>subsidised</w:t>
      </w:r>
      <w:proofErr w:type="spellEnd"/>
      <w:r w:rsidRPr="00363146">
        <w:rPr>
          <w:rFonts w:ascii="Times New Roman" w:hAnsi="Times New Roman" w:cs="Times New Roman"/>
          <w:b/>
          <w:bCs/>
          <w:lang w:val="en-US"/>
        </w:rPr>
        <w:t xml:space="preserve"> housing)</w:t>
      </w:r>
      <w:r w:rsidRPr="00363146">
        <w:rPr>
          <w:rFonts w:ascii="Times New Roman" w:hAnsi="Times New Roman" w:cs="Times New Roman"/>
          <w:lang w:val="en-US"/>
        </w:rPr>
        <w:t>.</w:t>
      </w:r>
    </w:p>
    <w:p w14:paraId="0726BE37" w14:textId="77777777" w:rsidR="00A02B66" w:rsidRPr="00363146" w:rsidRDefault="00A02B66" w:rsidP="00A02B66">
      <w:pPr>
        <w:rPr>
          <w:rFonts w:ascii="Times New Roman" w:hAnsi="Times New Roman" w:cs="Times New Roman"/>
          <w:lang w:val="en-US"/>
        </w:rPr>
      </w:pPr>
    </w:p>
    <w:p w14:paraId="712EEA69"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Several ownership scenarios are distinguished:</w:t>
      </w:r>
    </w:p>
    <w:p w14:paraId="2FE3A0E7" w14:textId="77777777" w:rsidR="00363146" w:rsidRPr="00363146" w:rsidRDefault="00363146" w:rsidP="00363146">
      <w:pPr>
        <w:numPr>
          <w:ilvl w:val="0"/>
          <w:numId w:val="30"/>
        </w:numPr>
        <w:rPr>
          <w:rFonts w:ascii="Times New Roman" w:hAnsi="Times New Roman" w:cs="Times New Roman"/>
          <w:lang w:val="en-US"/>
        </w:rPr>
      </w:pPr>
      <w:r w:rsidRPr="00363146">
        <w:rPr>
          <w:rFonts w:ascii="Times New Roman" w:hAnsi="Times New Roman" w:cs="Times New Roman"/>
          <w:b/>
          <w:bCs/>
          <w:lang w:val="en-US"/>
        </w:rPr>
        <w:t>Bare ownership:</w:t>
      </w:r>
      <w:r w:rsidRPr="00363146">
        <w:rPr>
          <w:rFonts w:ascii="Times New Roman" w:hAnsi="Times New Roman" w:cs="Times New Roman"/>
          <w:lang w:val="en-US"/>
        </w:rPr>
        <w:t> Bare ownership titles are </w:t>
      </w:r>
      <w:r w:rsidRPr="00363146">
        <w:rPr>
          <w:rFonts w:ascii="Times New Roman" w:hAnsi="Times New Roman" w:cs="Times New Roman"/>
          <w:b/>
          <w:bCs/>
          <w:lang w:val="en-US"/>
        </w:rPr>
        <w:t>not counted</w:t>
      </w:r>
      <w:r w:rsidRPr="00363146">
        <w:rPr>
          <w:rFonts w:ascii="Times New Roman" w:hAnsi="Times New Roman" w:cs="Times New Roman"/>
          <w:lang w:val="en-US"/>
        </w:rPr>
        <w:t>, as the holder lacks the right of use and enjoyment of the property.</w:t>
      </w:r>
    </w:p>
    <w:p w14:paraId="4AA080D4" w14:textId="77777777" w:rsidR="00363146" w:rsidRPr="00363146" w:rsidRDefault="00363146" w:rsidP="00363146">
      <w:pPr>
        <w:numPr>
          <w:ilvl w:val="0"/>
          <w:numId w:val="30"/>
        </w:numPr>
        <w:rPr>
          <w:rFonts w:ascii="Times New Roman" w:hAnsi="Times New Roman" w:cs="Times New Roman"/>
          <w:lang w:val="en-US"/>
        </w:rPr>
      </w:pPr>
      <w:r w:rsidRPr="00363146">
        <w:rPr>
          <w:rFonts w:ascii="Times New Roman" w:hAnsi="Times New Roman" w:cs="Times New Roman"/>
          <w:b/>
          <w:bCs/>
          <w:lang w:val="en-US"/>
        </w:rPr>
        <w:t>Usufruct:</w:t>
      </w:r>
      <w:r w:rsidRPr="00363146">
        <w:rPr>
          <w:rFonts w:ascii="Times New Roman" w:hAnsi="Times New Roman" w:cs="Times New Roman"/>
          <w:lang w:val="en-US"/>
        </w:rPr>
        <w:t> Usufruct rights </w:t>
      </w:r>
      <w:r w:rsidRPr="00363146">
        <w:rPr>
          <w:rFonts w:ascii="Times New Roman" w:hAnsi="Times New Roman" w:cs="Times New Roman"/>
          <w:b/>
          <w:bCs/>
          <w:lang w:val="en-US"/>
        </w:rPr>
        <w:t>are counted</w:t>
      </w:r>
      <w:r w:rsidRPr="00363146">
        <w:rPr>
          <w:rFonts w:ascii="Times New Roman" w:hAnsi="Times New Roman" w:cs="Times New Roman"/>
          <w:lang w:val="en-US"/>
        </w:rPr>
        <w:t>, as they grant the right of use and benefit of the property.</w:t>
      </w:r>
    </w:p>
    <w:p w14:paraId="0A7B26BA" w14:textId="77777777" w:rsidR="00363146" w:rsidRPr="00363146" w:rsidRDefault="00363146" w:rsidP="00363146">
      <w:pPr>
        <w:numPr>
          <w:ilvl w:val="0"/>
          <w:numId w:val="30"/>
        </w:numPr>
        <w:rPr>
          <w:rFonts w:ascii="Times New Roman" w:hAnsi="Times New Roman" w:cs="Times New Roman"/>
          <w:lang w:val="en-US"/>
        </w:rPr>
      </w:pPr>
      <w:r w:rsidRPr="00363146">
        <w:rPr>
          <w:rFonts w:ascii="Times New Roman" w:hAnsi="Times New Roman" w:cs="Times New Roman"/>
          <w:b/>
          <w:bCs/>
          <w:lang w:val="en-US"/>
        </w:rPr>
        <w:t>Shared ownership or communities of property:</w:t>
      </w:r>
      <w:r w:rsidRPr="00363146">
        <w:rPr>
          <w:rFonts w:ascii="Times New Roman" w:hAnsi="Times New Roman" w:cs="Times New Roman"/>
          <w:lang w:val="en-US"/>
        </w:rPr>
        <w:t> If one co-owner or member of a community of property is considered a large property owner and others are not, </w:t>
      </w:r>
      <w:r w:rsidRPr="00363146">
        <w:rPr>
          <w:rFonts w:ascii="Times New Roman" w:hAnsi="Times New Roman" w:cs="Times New Roman"/>
          <w:b/>
          <w:bCs/>
          <w:lang w:val="en-US"/>
        </w:rPr>
        <w:t>this condition prevails</w:t>
      </w:r>
      <w:r w:rsidRPr="00363146">
        <w:rPr>
          <w:rFonts w:ascii="Times New Roman" w:hAnsi="Times New Roman" w:cs="Times New Roman"/>
          <w:lang w:val="en-US"/>
        </w:rPr>
        <w:t>, and the property is subject to the rent limitation regime applicable to large property owners.</w:t>
      </w:r>
    </w:p>
    <w:p w14:paraId="31895BA7" w14:textId="77777777" w:rsidR="00363146" w:rsidRPr="00363146" w:rsidRDefault="00363146" w:rsidP="00363146">
      <w:pPr>
        <w:numPr>
          <w:ilvl w:val="0"/>
          <w:numId w:val="30"/>
        </w:numPr>
        <w:rPr>
          <w:rFonts w:ascii="Times New Roman" w:hAnsi="Times New Roman" w:cs="Times New Roman"/>
          <w:lang w:val="en-US"/>
        </w:rPr>
      </w:pPr>
      <w:r w:rsidRPr="00363146">
        <w:rPr>
          <w:rFonts w:ascii="Times New Roman" w:hAnsi="Times New Roman" w:cs="Times New Roman"/>
          <w:b/>
          <w:bCs/>
          <w:lang w:val="en-US"/>
        </w:rPr>
        <w:t>Buildings under vertical ownership:</w:t>
      </w:r>
      <w:r w:rsidRPr="00363146">
        <w:rPr>
          <w:rFonts w:ascii="Times New Roman" w:hAnsi="Times New Roman" w:cs="Times New Roman"/>
          <w:lang w:val="en-US"/>
        </w:rPr>
        <w:t> </w:t>
      </w:r>
      <w:r w:rsidRPr="00363146">
        <w:rPr>
          <w:rFonts w:ascii="Times New Roman" w:hAnsi="Times New Roman" w:cs="Times New Roman"/>
          <w:b/>
          <w:bCs/>
          <w:lang w:val="en-US"/>
        </w:rPr>
        <w:t>All residential units</w:t>
      </w:r>
      <w:r w:rsidRPr="00363146">
        <w:rPr>
          <w:rFonts w:ascii="Times New Roman" w:hAnsi="Times New Roman" w:cs="Times New Roman"/>
          <w:lang w:val="en-US"/>
        </w:rPr>
        <w:t xml:space="preserve"> into which the building is physically divided are counted, </w:t>
      </w:r>
      <w:proofErr w:type="gramStart"/>
      <w:r w:rsidRPr="00363146">
        <w:rPr>
          <w:rFonts w:ascii="Times New Roman" w:hAnsi="Times New Roman" w:cs="Times New Roman"/>
          <w:lang w:val="en-US"/>
        </w:rPr>
        <w:t>whether or not</w:t>
      </w:r>
      <w:proofErr w:type="gramEnd"/>
      <w:r w:rsidRPr="00363146">
        <w:rPr>
          <w:rFonts w:ascii="Times New Roman" w:hAnsi="Times New Roman" w:cs="Times New Roman"/>
          <w:lang w:val="en-US"/>
        </w:rPr>
        <w:t xml:space="preserve"> they are individually registered in the Property Registry.</w:t>
      </w:r>
    </w:p>
    <w:p w14:paraId="48D5742B" w14:textId="77777777" w:rsidR="00A02B66" w:rsidRPr="00363146" w:rsidRDefault="00A02B66" w:rsidP="00A02B66">
      <w:pPr>
        <w:rPr>
          <w:rFonts w:ascii="Times New Roman" w:hAnsi="Times New Roman" w:cs="Times New Roman"/>
          <w:lang w:val="en-US"/>
        </w:rPr>
      </w:pPr>
    </w:p>
    <w:p w14:paraId="5503DFD8"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All residential dwellings are included, regardless of whether they are rented, vacant or under renovation.</w:t>
      </w:r>
    </w:p>
    <w:p w14:paraId="2098B261" w14:textId="77777777" w:rsidR="00A02B66" w:rsidRPr="00363146" w:rsidRDefault="00A02B66" w:rsidP="00A02B66">
      <w:pPr>
        <w:rPr>
          <w:rFonts w:ascii="Times New Roman" w:hAnsi="Times New Roman" w:cs="Times New Roman"/>
          <w:b/>
          <w:bCs/>
          <w:lang w:val="en-US"/>
        </w:rPr>
      </w:pPr>
    </w:p>
    <w:p w14:paraId="5BF2B190" w14:textId="77777777" w:rsidR="00363146" w:rsidRPr="00363146" w:rsidRDefault="00363146" w:rsidP="00363146">
      <w:pPr>
        <w:rPr>
          <w:rFonts w:ascii="Times New Roman" w:hAnsi="Times New Roman" w:cs="Times New Roman"/>
          <w:b/>
          <w:bCs/>
          <w:lang w:val="en-US"/>
        </w:rPr>
      </w:pPr>
      <w:r w:rsidRPr="00363146">
        <w:rPr>
          <w:rFonts w:ascii="Times New Roman" w:hAnsi="Times New Roman" w:cs="Times New Roman"/>
          <w:b/>
          <w:bCs/>
          <w:lang w:val="en-US"/>
        </w:rPr>
        <w:t>Included:</w:t>
      </w:r>
    </w:p>
    <w:p w14:paraId="0892D7C7" w14:textId="77777777" w:rsidR="00363146" w:rsidRPr="00363146" w:rsidRDefault="00363146" w:rsidP="00363146">
      <w:pPr>
        <w:numPr>
          <w:ilvl w:val="0"/>
          <w:numId w:val="31"/>
        </w:numPr>
        <w:rPr>
          <w:rFonts w:ascii="Times New Roman" w:hAnsi="Times New Roman" w:cs="Times New Roman"/>
          <w:lang w:val="en-US"/>
        </w:rPr>
      </w:pPr>
      <w:r w:rsidRPr="00363146">
        <w:rPr>
          <w:rFonts w:ascii="Times New Roman" w:hAnsi="Times New Roman" w:cs="Times New Roman"/>
          <w:lang w:val="en-US"/>
        </w:rPr>
        <w:t>Dwellings under direct ownership.</w:t>
      </w:r>
    </w:p>
    <w:p w14:paraId="046CA771" w14:textId="77777777" w:rsidR="00363146" w:rsidRPr="00363146" w:rsidRDefault="00363146" w:rsidP="00363146">
      <w:pPr>
        <w:numPr>
          <w:ilvl w:val="0"/>
          <w:numId w:val="31"/>
        </w:numPr>
        <w:rPr>
          <w:rFonts w:ascii="Times New Roman" w:hAnsi="Times New Roman" w:cs="Times New Roman"/>
          <w:lang w:val="en-US"/>
        </w:rPr>
      </w:pPr>
      <w:r w:rsidRPr="00363146">
        <w:rPr>
          <w:rFonts w:ascii="Times New Roman" w:hAnsi="Times New Roman" w:cs="Times New Roman"/>
          <w:lang w:val="en-US"/>
        </w:rPr>
        <w:t>Dwellings under shared ownership with other owners (in proportion to the undivided share).</w:t>
      </w:r>
    </w:p>
    <w:p w14:paraId="57604BBA" w14:textId="77777777" w:rsidR="00363146" w:rsidRPr="00363146" w:rsidRDefault="00363146" w:rsidP="00363146">
      <w:pPr>
        <w:numPr>
          <w:ilvl w:val="0"/>
          <w:numId w:val="31"/>
        </w:numPr>
        <w:rPr>
          <w:rFonts w:ascii="Times New Roman" w:hAnsi="Times New Roman" w:cs="Times New Roman"/>
          <w:lang w:val="en-US"/>
        </w:rPr>
      </w:pPr>
      <w:r w:rsidRPr="00363146">
        <w:rPr>
          <w:rFonts w:ascii="Times New Roman" w:hAnsi="Times New Roman" w:cs="Times New Roman"/>
          <w:lang w:val="en-US"/>
        </w:rPr>
        <w:t>Rented dwellings, occupied or vacant.</w:t>
      </w:r>
    </w:p>
    <w:p w14:paraId="244608D2" w14:textId="77777777" w:rsidR="00363146" w:rsidRPr="00363146" w:rsidRDefault="00363146" w:rsidP="00363146">
      <w:pPr>
        <w:rPr>
          <w:rFonts w:ascii="Times New Roman" w:hAnsi="Times New Roman" w:cs="Times New Roman"/>
          <w:b/>
          <w:bCs/>
          <w:lang w:val="en-US"/>
        </w:rPr>
      </w:pPr>
      <w:r w:rsidRPr="00363146">
        <w:rPr>
          <w:rFonts w:ascii="Times New Roman" w:hAnsi="Times New Roman" w:cs="Times New Roman"/>
          <w:b/>
          <w:bCs/>
          <w:lang w:val="en-US"/>
        </w:rPr>
        <w:t>Excluded:</w:t>
      </w:r>
    </w:p>
    <w:p w14:paraId="2DCD297F" w14:textId="77777777" w:rsidR="00363146" w:rsidRPr="00363146" w:rsidRDefault="00363146" w:rsidP="00363146">
      <w:pPr>
        <w:numPr>
          <w:ilvl w:val="0"/>
          <w:numId w:val="32"/>
        </w:numPr>
        <w:rPr>
          <w:rFonts w:ascii="Times New Roman" w:hAnsi="Times New Roman" w:cs="Times New Roman"/>
          <w:lang w:val="en-US"/>
        </w:rPr>
      </w:pPr>
      <w:r w:rsidRPr="00363146">
        <w:rPr>
          <w:rFonts w:ascii="Times New Roman" w:hAnsi="Times New Roman" w:cs="Times New Roman"/>
          <w:lang w:val="en-US"/>
        </w:rPr>
        <w:t>The habitual residence.</w:t>
      </w:r>
    </w:p>
    <w:p w14:paraId="32BDB25F" w14:textId="77777777" w:rsidR="00363146" w:rsidRPr="00363146" w:rsidRDefault="00363146" w:rsidP="00363146">
      <w:pPr>
        <w:numPr>
          <w:ilvl w:val="0"/>
          <w:numId w:val="32"/>
        </w:numPr>
        <w:rPr>
          <w:rFonts w:ascii="Times New Roman" w:hAnsi="Times New Roman" w:cs="Times New Roman"/>
          <w:lang w:val="en-US"/>
        </w:rPr>
      </w:pPr>
      <w:r w:rsidRPr="00363146">
        <w:rPr>
          <w:rFonts w:ascii="Times New Roman" w:hAnsi="Times New Roman" w:cs="Times New Roman"/>
          <w:lang w:val="en-US"/>
        </w:rPr>
        <w:t>Garages, storage rooms or commercial premises.</w:t>
      </w:r>
    </w:p>
    <w:p w14:paraId="3270BA0F" w14:textId="77777777" w:rsidR="00363146" w:rsidRPr="00363146" w:rsidRDefault="00363146" w:rsidP="00363146">
      <w:pPr>
        <w:numPr>
          <w:ilvl w:val="0"/>
          <w:numId w:val="32"/>
        </w:numPr>
        <w:rPr>
          <w:rFonts w:ascii="Times New Roman" w:hAnsi="Times New Roman" w:cs="Times New Roman"/>
          <w:lang w:val="en-US"/>
        </w:rPr>
      </w:pPr>
      <w:r w:rsidRPr="00363146">
        <w:rPr>
          <w:rFonts w:ascii="Times New Roman" w:hAnsi="Times New Roman" w:cs="Times New Roman"/>
          <w:lang w:val="en-US"/>
        </w:rPr>
        <w:t xml:space="preserve">Protected housing (public or </w:t>
      </w:r>
      <w:proofErr w:type="spellStart"/>
      <w:r w:rsidRPr="00363146">
        <w:rPr>
          <w:rFonts w:ascii="Times New Roman" w:hAnsi="Times New Roman" w:cs="Times New Roman"/>
          <w:lang w:val="en-US"/>
        </w:rPr>
        <w:t>subsidised</w:t>
      </w:r>
      <w:proofErr w:type="spellEnd"/>
      <w:r w:rsidRPr="00363146">
        <w:rPr>
          <w:rFonts w:ascii="Times New Roman" w:hAnsi="Times New Roman" w:cs="Times New Roman"/>
          <w:lang w:val="en-US"/>
        </w:rPr>
        <w:t xml:space="preserve"> housing).</w:t>
      </w:r>
    </w:p>
    <w:p w14:paraId="299E993B" w14:textId="77777777" w:rsidR="00363146" w:rsidRPr="00363146" w:rsidRDefault="00363146" w:rsidP="00363146">
      <w:pPr>
        <w:numPr>
          <w:ilvl w:val="0"/>
          <w:numId w:val="32"/>
        </w:numPr>
        <w:rPr>
          <w:rFonts w:ascii="Times New Roman" w:hAnsi="Times New Roman" w:cs="Times New Roman"/>
          <w:lang w:val="en-US"/>
        </w:rPr>
      </w:pPr>
      <w:r w:rsidRPr="00363146">
        <w:rPr>
          <w:rFonts w:ascii="Times New Roman" w:hAnsi="Times New Roman" w:cs="Times New Roman"/>
          <w:lang w:val="en-US"/>
        </w:rPr>
        <w:t>Dwellings located outside Spanish territory.</w:t>
      </w:r>
    </w:p>
    <w:p w14:paraId="446946B9" w14:textId="77777777" w:rsidR="00363146" w:rsidRPr="00363146" w:rsidRDefault="00363146" w:rsidP="00363146">
      <w:pPr>
        <w:numPr>
          <w:ilvl w:val="0"/>
          <w:numId w:val="32"/>
        </w:numPr>
        <w:rPr>
          <w:rFonts w:ascii="Times New Roman" w:hAnsi="Times New Roman" w:cs="Times New Roman"/>
          <w:lang w:val="en-US"/>
        </w:rPr>
      </w:pPr>
      <w:r w:rsidRPr="00363146">
        <w:rPr>
          <w:rFonts w:ascii="Times New Roman" w:hAnsi="Times New Roman" w:cs="Times New Roman"/>
          <w:lang w:val="en-US"/>
        </w:rPr>
        <w:t>Tourist accommodation or dwellings with uses other than habitual residential use.</w:t>
      </w:r>
    </w:p>
    <w:p w14:paraId="3B74C4A5" w14:textId="77777777" w:rsidR="00A02B66" w:rsidRPr="00363146" w:rsidRDefault="00A02B66" w:rsidP="00A02B66">
      <w:pPr>
        <w:rPr>
          <w:rFonts w:ascii="Times New Roman" w:hAnsi="Times New Roman" w:cs="Times New Roman"/>
          <w:lang w:val="en-US"/>
        </w:rPr>
      </w:pPr>
    </w:p>
    <w:p w14:paraId="34882768" w14:textId="77777777" w:rsidR="00A02B66" w:rsidRPr="00363146" w:rsidRDefault="00A02B66" w:rsidP="00A02B66">
      <w:pPr>
        <w:rPr>
          <w:rFonts w:ascii="Times New Roman" w:hAnsi="Times New Roman" w:cs="Times New Roman"/>
          <w:lang w:val="en-US"/>
        </w:rPr>
      </w:pPr>
    </w:p>
    <w:p w14:paraId="077CB045" w14:textId="77777777" w:rsidR="00A02B66" w:rsidRPr="00363146" w:rsidRDefault="00A02B66" w:rsidP="00A02B66">
      <w:pPr>
        <w:rPr>
          <w:rFonts w:ascii="Times New Roman" w:hAnsi="Times New Roman" w:cs="Times New Roman"/>
          <w:lang w:val="en-US"/>
        </w:rPr>
      </w:pPr>
    </w:p>
    <w:p w14:paraId="09A8D0B3" w14:textId="77777777" w:rsidR="00A02B66" w:rsidRPr="00363146" w:rsidRDefault="00A02B66" w:rsidP="00A02B66">
      <w:pPr>
        <w:rPr>
          <w:rFonts w:ascii="Times New Roman" w:hAnsi="Times New Roman" w:cs="Times New Roman"/>
          <w:lang w:val="en-US"/>
        </w:rPr>
      </w:pPr>
    </w:p>
    <w:p w14:paraId="6B0726C0" w14:textId="77777777" w:rsidR="00363146" w:rsidRPr="00363146" w:rsidRDefault="00363146" w:rsidP="00A02B66">
      <w:pPr>
        <w:rPr>
          <w:rFonts w:ascii="Times New Roman" w:hAnsi="Times New Roman" w:cs="Times New Roman"/>
          <w:lang w:val="en-US"/>
        </w:rPr>
      </w:pPr>
    </w:p>
    <w:p w14:paraId="55CB2EDF" w14:textId="77777777" w:rsidR="00363146" w:rsidRPr="00363146" w:rsidRDefault="00363146" w:rsidP="00A02B66">
      <w:pPr>
        <w:rPr>
          <w:rFonts w:ascii="Times New Roman" w:hAnsi="Times New Roman" w:cs="Times New Roman"/>
          <w:lang w:val="en-US"/>
        </w:rPr>
      </w:pPr>
    </w:p>
    <w:p w14:paraId="21E9E20D" w14:textId="77777777" w:rsidR="00363146" w:rsidRPr="00363146" w:rsidRDefault="00363146" w:rsidP="00363146">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t>WHAT IS A TENSIONED RESIDENTIAL MARKET AREA?</w:t>
      </w:r>
    </w:p>
    <w:p w14:paraId="7F5D24A1"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A </w:t>
      </w:r>
      <w:r w:rsidRPr="00363146">
        <w:rPr>
          <w:rFonts w:ascii="Times New Roman" w:hAnsi="Times New Roman" w:cs="Times New Roman"/>
          <w:b/>
          <w:bCs/>
          <w:lang w:val="en-US"/>
        </w:rPr>
        <w:t>Tensioned Residential Market Area</w:t>
      </w:r>
      <w:r w:rsidRPr="00363146">
        <w:rPr>
          <w:rFonts w:ascii="Times New Roman" w:hAnsi="Times New Roman" w:cs="Times New Roman"/>
          <w:lang w:val="en-US"/>
        </w:rPr>
        <w:t> is a geographical area or municipality where housing costs (purchase or rental) have increased beyond what is reasonable in relation to the average income of the population.</w:t>
      </w:r>
    </w:p>
    <w:p w14:paraId="6E3DEC74" w14:textId="77777777" w:rsidR="00363146" w:rsidRPr="00363146" w:rsidRDefault="00363146" w:rsidP="00363146">
      <w:pPr>
        <w:rPr>
          <w:rFonts w:ascii="Times New Roman" w:hAnsi="Times New Roman" w:cs="Times New Roman"/>
          <w:lang w:val="en-US"/>
        </w:rPr>
      </w:pPr>
    </w:p>
    <w:p w14:paraId="33533D29"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An area is declared “tensioned” when:</w:t>
      </w:r>
    </w:p>
    <w:p w14:paraId="1B5E0D5D" w14:textId="77777777" w:rsidR="00363146" w:rsidRPr="00363146" w:rsidRDefault="00363146" w:rsidP="00363146">
      <w:pPr>
        <w:numPr>
          <w:ilvl w:val="0"/>
          <w:numId w:val="33"/>
        </w:numPr>
        <w:rPr>
          <w:rFonts w:ascii="Times New Roman" w:hAnsi="Times New Roman" w:cs="Times New Roman"/>
          <w:lang w:val="en-US"/>
        </w:rPr>
      </w:pPr>
      <w:r w:rsidRPr="00363146">
        <w:rPr>
          <w:rFonts w:ascii="Times New Roman" w:hAnsi="Times New Roman" w:cs="Times New Roman"/>
          <w:lang w:val="en-US"/>
        </w:rPr>
        <w:t>Households allocate </w:t>
      </w:r>
      <w:r w:rsidRPr="00363146">
        <w:rPr>
          <w:rFonts w:ascii="Times New Roman" w:hAnsi="Times New Roman" w:cs="Times New Roman"/>
          <w:b/>
          <w:bCs/>
          <w:lang w:val="en-US"/>
        </w:rPr>
        <w:t>more than 30% of their income</w:t>
      </w:r>
      <w:r w:rsidRPr="00363146">
        <w:rPr>
          <w:rFonts w:ascii="Times New Roman" w:hAnsi="Times New Roman" w:cs="Times New Roman"/>
          <w:lang w:val="en-US"/>
        </w:rPr>
        <w:t> to rent or mortgage payments, or</w:t>
      </w:r>
    </w:p>
    <w:p w14:paraId="0233567F" w14:textId="6070DA5A" w:rsidR="00363146" w:rsidRPr="00363146" w:rsidRDefault="00363146" w:rsidP="00363146">
      <w:pPr>
        <w:numPr>
          <w:ilvl w:val="0"/>
          <w:numId w:val="33"/>
        </w:numPr>
        <w:rPr>
          <w:rFonts w:ascii="Times New Roman" w:hAnsi="Times New Roman" w:cs="Times New Roman"/>
          <w:lang w:val="en-US"/>
        </w:rPr>
      </w:pPr>
      <w:r w:rsidRPr="00363146">
        <w:rPr>
          <w:rFonts w:ascii="Times New Roman" w:hAnsi="Times New Roman" w:cs="Times New Roman"/>
          <w:lang w:val="en-US"/>
        </w:rPr>
        <w:t>Housing prices have increased, over the last five years, </w:t>
      </w:r>
      <w:r w:rsidRPr="00363146">
        <w:rPr>
          <w:rFonts w:ascii="Times New Roman" w:hAnsi="Times New Roman" w:cs="Times New Roman"/>
          <w:b/>
          <w:bCs/>
          <w:lang w:val="en-US"/>
        </w:rPr>
        <w:t xml:space="preserve">by more than </w:t>
      </w:r>
      <w:proofErr w:type="gramStart"/>
      <w:r w:rsidRPr="00363146">
        <w:rPr>
          <w:rFonts w:ascii="Times New Roman" w:hAnsi="Times New Roman" w:cs="Times New Roman"/>
          <w:b/>
          <w:bCs/>
          <w:lang w:val="en-US"/>
        </w:rPr>
        <w:t xml:space="preserve">three </w:t>
      </w:r>
      <w:r w:rsidRPr="00363146">
        <w:rPr>
          <w:rFonts w:ascii="Times New Roman" w:hAnsi="Times New Roman" w:cs="Times New Roman"/>
          <w:lang w:val="en-US"/>
        </w:rPr>
        <w:t xml:space="preserve"> </w:t>
      </w:r>
      <w:r w:rsidRPr="00363146">
        <w:rPr>
          <w:rFonts w:ascii="Times New Roman" w:hAnsi="Times New Roman" w:cs="Times New Roman"/>
          <w:b/>
          <w:bCs/>
          <w:lang w:val="en-US"/>
        </w:rPr>
        <w:t>percentage</w:t>
      </w:r>
      <w:proofErr w:type="gramEnd"/>
      <w:r w:rsidRPr="00363146">
        <w:rPr>
          <w:rFonts w:ascii="Times New Roman" w:hAnsi="Times New Roman" w:cs="Times New Roman"/>
          <w:b/>
          <w:bCs/>
          <w:lang w:val="en-US"/>
        </w:rPr>
        <w:t xml:space="preserve"> points above the CPI</w:t>
      </w:r>
      <w:r w:rsidRPr="00363146">
        <w:rPr>
          <w:rFonts w:ascii="Times New Roman" w:hAnsi="Times New Roman" w:cs="Times New Roman"/>
          <w:lang w:val="en-US"/>
        </w:rPr>
        <w:t>.</w:t>
      </w:r>
    </w:p>
    <w:p w14:paraId="0E9BC392" w14:textId="77777777" w:rsidR="00363146" w:rsidRPr="00363146" w:rsidRDefault="00363146" w:rsidP="00363146">
      <w:pPr>
        <w:rPr>
          <w:rFonts w:ascii="Times New Roman" w:hAnsi="Times New Roman" w:cs="Times New Roman"/>
          <w:lang w:val="en-US"/>
        </w:rPr>
      </w:pPr>
    </w:p>
    <w:p w14:paraId="0689F1F9" w14:textId="647599D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This declaration allows the application of </w:t>
      </w:r>
      <w:r w:rsidRPr="00363146">
        <w:rPr>
          <w:rFonts w:ascii="Times New Roman" w:hAnsi="Times New Roman" w:cs="Times New Roman"/>
          <w:b/>
          <w:bCs/>
          <w:lang w:val="en-US"/>
        </w:rPr>
        <w:t>rental price limits</w:t>
      </w:r>
      <w:r w:rsidRPr="00363146">
        <w:rPr>
          <w:rFonts w:ascii="Times New Roman" w:hAnsi="Times New Roman" w:cs="Times New Roman"/>
          <w:lang w:val="en-US"/>
        </w:rPr>
        <w:t> and specific control measures to prevent excessive increases and improve market stability.</w:t>
      </w:r>
    </w:p>
    <w:p w14:paraId="3A13F136" w14:textId="77777777" w:rsidR="00A02B66" w:rsidRPr="00363146" w:rsidRDefault="00A02B66" w:rsidP="00A02B66">
      <w:pPr>
        <w:rPr>
          <w:rFonts w:ascii="Times New Roman" w:hAnsi="Times New Roman" w:cs="Times New Roman"/>
          <w:b/>
          <w:bCs/>
          <w:lang w:val="en-US"/>
        </w:rPr>
      </w:pPr>
    </w:p>
    <w:p w14:paraId="11772FAC" w14:textId="77777777" w:rsidR="00363146" w:rsidRPr="00363146" w:rsidRDefault="00363146" w:rsidP="00363146">
      <w:pPr>
        <w:rPr>
          <w:rFonts w:ascii="Times New Roman" w:hAnsi="Times New Roman" w:cs="Times New Roman"/>
          <w:b/>
          <w:bCs/>
          <w:u w:val="single"/>
          <w:lang w:val="en-US"/>
        </w:rPr>
      </w:pPr>
      <w:r w:rsidRPr="00363146">
        <w:rPr>
          <w:rFonts w:ascii="Times New Roman" w:hAnsi="Times New Roman" w:cs="Times New Roman"/>
          <w:b/>
          <w:bCs/>
          <w:u w:val="single"/>
          <w:lang w:val="en-US"/>
        </w:rPr>
        <w:t>Affected Municipalities</w:t>
      </w:r>
    </w:p>
    <w:p w14:paraId="1286003A"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The </w:t>
      </w:r>
      <w:hyperlink r:id="rId8" w:tgtFrame="_blank" w:history="1">
        <w:r w:rsidRPr="00363146">
          <w:rPr>
            <w:rStyle w:val="Hipervnculo"/>
            <w:rFonts w:ascii="Times New Roman" w:hAnsi="Times New Roman" w:cs="Times New Roman"/>
            <w:lang w:val="en-US"/>
          </w:rPr>
          <w:t>Generalitat</w:t>
        </w:r>
      </w:hyperlink>
      <w:r w:rsidRPr="00363146">
        <w:rPr>
          <w:rFonts w:ascii="Times New Roman" w:hAnsi="Times New Roman" w:cs="Times New Roman"/>
          <w:lang w:val="en-US"/>
        </w:rPr>
        <w:t> of Catalonia has established tensioned areas in two phases:</w:t>
      </w:r>
    </w:p>
    <w:p w14:paraId="39C36419" w14:textId="77777777" w:rsidR="00363146" w:rsidRPr="00363146" w:rsidRDefault="00363146" w:rsidP="00363146">
      <w:pPr>
        <w:numPr>
          <w:ilvl w:val="0"/>
          <w:numId w:val="34"/>
        </w:numPr>
        <w:rPr>
          <w:rFonts w:ascii="Times New Roman" w:hAnsi="Times New Roman" w:cs="Times New Roman"/>
          <w:lang w:val="en-US"/>
        </w:rPr>
      </w:pPr>
      <w:hyperlink r:id="rId9" w:tgtFrame="_blank" w:history="1">
        <w:r w:rsidRPr="00363146">
          <w:rPr>
            <w:rStyle w:val="Hipervnculo"/>
            <w:rFonts w:ascii="Times New Roman" w:hAnsi="Times New Roman" w:cs="Times New Roman"/>
            <w:b/>
            <w:bCs/>
            <w:lang w:val="en-US"/>
          </w:rPr>
          <w:t>First Phase </w:t>
        </w:r>
      </w:hyperlink>
      <w:r w:rsidRPr="00363146">
        <w:rPr>
          <w:rFonts w:ascii="Times New Roman" w:hAnsi="Times New Roman" w:cs="Times New Roman"/>
          <w:b/>
          <w:bCs/>
          <w:lang w:val="en-US"/>
        </w:rPr>
        <w:t>(March 2024):</w:t>
      </w:r>
      <w:r w:rsidRPr="00363146">
        <w:rPr>
          <w:rFonts w:ascii="Times New Roman" w:hAnsi="Times New Roman" w:cs="Times New Roman"/>
          <w:lang w:val="en-US"/>
        </w:rPr>
        <w:t> Entered into force on </w:t>
      </w:r>
      <w:r w:rsidRPr="00363146">
        <w:rPr>
          <w:rFonts w:ascii="Times New Roman" w:hAnsi="Times New Roman" w:cs="Times New Roman"/>
          <w:b/>
          <w:bCs/>
          <w:lang w:val="en-US"/>
        </w:rPr>
        <w:t>16 March 2024</w:t>
      </w:r>
      <w:r w:rsidRPr="00363146">
        <w:rPr>
          <w:rFonts w:ascii="Times New Roman" w:hAnsi="Times New Roman" w:cs="Times New Roman"/>
          <w:lang w:val="en-US"/>
        </w:rPr>
        <w:t>, affecting </w:t>
      </w:r>
      <w:r w:rsidRPr="00363146">
        <w:rPr>
          <w:rFonts w:ascii="Times New Roman" w:hAnsi="Times New Roman" w:cs="Times New Roman"/>
          <w:b/>
          <w:bCs/>
          <w:lang w:val="en-US"/>
        </w:rPr>
        <w:t>140 Catalan municipalities</w:t>
      </w:r>
      <w:r w:rsidRPr="00363146">
        <w:rPr>
          <w:rFonts w:ascii="Times New Roman" w:hAnsi="Times New Roman" w:cs="Times New Roman"/>
          <w:lang w:val="en-US"/>
        </w:rPr>
        <w:t xml:space="preserve">, including Barcelona, </w:t>
      </w:r>
      <w:proofErr w:type="spellStart"/>
      <w:r w:rsidRPr="00363146">
        <w:rPr>
          <w:rFonts w:ascii="Times New Roman" w:hAnsi="Times New Roman" w:cs="Times New Roman"/>
          <w:lang w:val="en-US"/>
        </w:rPr>
        <w:t>L’Hospitalet</w:t>
      </w:r>
      <w:proofErr w:type="spellEnd"/>
      <w:r w:rsidRPr="00363146">
        <w:rPr>
          <w:rFonts w:ascii="Times New Roman" w:hAnsi="Times New Roman" w:cs="Times New Roman"/>
          <w:lang w:val="en-US"/>
        </w:rPr>
        <w:t xml:space="preserve"> de Llobregat, Badalona, Sabadell, Terrassa, Girona, Tarragona and Reus. These municipalities were the first to apply price limits due to the highest market pressure.</w:t>
      </w:r>
    </w:p>
    <w:p w14:paraId="17E3E14F" w14:textId="77777777" w:rsidR="00363146" w:rsidRPr="00363146" w:rsidRDefault="00363146" w:rsidP="00363146">
      <w:pPr>
        <w:numPr>
          <w:ilvl w:val="0"/>
          <w:numId w:val="34"/>
        </w:numPr>
        <w:rPr>
          <w:rFonts w:ascii="Times New Roman" w:hAnsi="Times New Roman" w:cs="Times New Roman"/>
          <w:lang w:val="en-US"/>
        </w:rPr>
      </w:pPr>
      <w:hyperlink r:id="rId10" w:tgtFrame="_blank" w:history="1">
        <w:r w:rsidRPr="00363146">
          <w:rPr>
            <w:rStyle w:val="Hipervnculo"/>
            <w:rFonts w:ascii="Times New Roman" w:hAnsi="Times New Roman" w:cs="Times New Roman"/>
            <w:b/>
            <w:bCs/>
            <w:lang w:val="en-US"/>
          </w:rPr>
          <w:t>Second Phase</w:t>
        </w:r>
      </w:hyperlink>
      <w:r w:rsidRPr="00363146">
        <w:rPr>
          <w:rFonts w:ascii="Times New Roman" w:hAnsi="Times New Roman" w:cs="Times New Roman"/>
          <w:b/>
          <w:bCs/>
          <w:lang w:val="en-US"/>
        </w:rPr>
        <w:t> (October 2024):</w:t>
      </w:r>
      <w:r w:rsidRPr="00363146">
        <w:rPr>
          <w:rFonts w:ascii="Times New Roman" w:hAnsi="Times New Roman" w:cs="Times New Roman"/>
          <w:lang w:val="en-US"/>
        </w:rPr>
        <w:t> On </w:t>
      </w:r>
      <w:r w:rsidRPr="00363146">
        <w:rPr>
          <w:rFonts w:ascii="Times New Roman" w:hAnsi="Times New Roman" w:cs="Times New Roman"/>
          <w:b/>
          <w:bCs/>
          <w:lang w:val="en-US"/>
        </w:rPr>
        <w:t>10 October 2024</w:t>
      </w:r>
      <w:r w:rsidRPr="00363146">
        <w:rPr>
          <w:rFonts w:ascii="Times New Roman" w:hAnsi="Times New Roman" w:cs="Times New Roman"/>
          <w:lang w:val="en-US"/>
        </w:rPr>
        <w:t>, </w:t>
      </w:r>
      <w:r w:rsidRPr="00363146">
        <w:rPr>
          <w:rFonts w:ascii="Times New Roman" w:hAnsi="Times New Roman" w:cs="Times New Roman"/>
          <w:b/>
          <w:bCs/>
          <w:lang w:val="en-US"/>
        </w:rPr>
        <w:t>131 additional municipalities</w:t>
      </w:r>
      <w:r w:rsidRPr="00363146">
        <w:rPr>
          <w:rFonts w:ascii="Times New Roman" w:hAnsi="Times New Roman" w:cs="Times New Roman"/>
          <w:lang w:val="en-US"/>
        </w:rPr>
        <w:t> were included, bringing the total to </w:t>
      </w:r>
      <w:r w:rsidRPr="00363146">
        <w:rPr>
          <w:rFonts w:ascii="Times New Roman" w:hAnsi="Times New Roman" w:cs="Times New Roman"/>
          <w:b/>
          <w:bCs/>
          <w:lang w:val="en-US"/>
        </w:rPr>
        <w:t>271 municipalities</w:t>
      </w:r>
      <w:r w:rsidRPr="00363146">
        <w:rPr>
          <w:rFonts w:ascii="Times New Roman" w:hAnsi="Times New Roman" w:cs="Times New Roman"/>
          <w:lang w:val="en-US"/>
        </w:rPr>
        <w:t> across Catalonia. This phase extended regulation to areas where rental prices had risen steadily, especially in coastal municipalities and inland areas with strong residential demand.</w:t>
      </w:r>
    </w:p>
    <w:p w14:paraId="686D7D7F" w14:textId="77777777" w:rsidR="00363146" w:rsidRPr="00363146" w:rsidRDefault="00363146" w:rsidP="00A02B66">
      <w:pPr>
        <w:rPr>
          <w:rFonts w:ascii="Times New Roman" w:hAnsi="Times New Roman" w:cs="Times New Roman"/>
          <w:lang w:val="en-US"/>
        </w:rPr>
      </w:pPr>
    </w:p>
    <w:p w14:paraId="29EB1EEF" w14:textId="4A6A3B30" w:rsidR="00A02B66" w:rsidRPr="00363146" w:rsidRDefault="00363146" w:rsidP="00A02B66">
      <w:pPr>
        <w:rPr>
          <w:rFonts w:ascii="Times New Roman" w:hAnsi="Times New Roman" w:cs="Times New Roman"/>
          <w:lang w:val="en-US"/>
        </w:rPr>
      </w:pPr>
      <w:r w:rsidRPr="00363146">
        <w:rPr>
          <w:rFonts w:ascii="Times New Roman" w:hAnsi="Times New Roman" w:cs="Times New Roman"/>
          <w:lang w:val="en-US"/>
        </w:rPr>
        <w:t>As a result, </w:t>
      </w:r>
      <w:r w:rsidRPr="00363146">
        <w:rPr>
          <w:rFonts w:ascii="Times New Roman" w:hAnsi="Times New Roman" w:cs="Times New Roman"/>
          <w:b/>
          <w:bCs/>
          <w:lang w:val="en-US"/>
        </w:rPr>
        <w:t>more than 80% of the Catalan population</w:t>
      </w:r>
      <w:r w:rsidRPr="00363146">
        <w:rPr>
          <w:rFonts w:ascii="Times New Roman" w:hAnsi="Times New Roman" w:cs="Times New Roman"/>
          <w:lang w:val="en-US"/>
        </w:rPr>
        <w:t> currently lives in a declared tensioned area.</w:t>
      </w:r>
    </w:p>
    <w:p w14:paraId="39D4A46F" w14:textId="4D1B4321" w:rsidR="00A02B66" w:rsidRPr="00363146" w:rsidRDefault="00A02B66" w:rsidP="00A02B66">
      <w:pPr>
        <w:rPr>
          <w:rFonts w:ascii="Times New Roman" w:hAnsi="Times New Roman" w:cs="Times New Roman"/>
          <w:lang w:val="en-US"/>
        </w:rPr>
      </w:pPr>
      <w:r w:rsidRPr="00363146">
        <w:rPr>
          <w:rFonts w:ascii="Times New Roman" w:hAnsi="Times New Roman" w:cs="Times New Roman"/>
          <w:noProof/>
          <w:lang w:val="en-US"/>
        </w:rPr>
        <w:lastRenderedPageBreak/>
        <w:drawing>
          <wp:anchor distT="0" distB="0" distL="114300" distR="114300" simplePos="0" relativeHeight="251659264" behindDoc="0" locked="0" layoutInCell="1" allowOverlap="1" wp14:anchorId="093274E7" wp14:editId="6FBB691A">
            <wp:simplePos x="0" y="0"/>
            <wp:positionH relativeFrom="column">
              <wp:posOffset>581025</wp:posOffset>
            </wp:positionH>
            <wp:positionV relativeFrom="paragraph">
              <wp:posOffset>92710</wp:posOffset>
            </wp:positionV>
            <wp:extent cx="4373245" cy="3120390"/>
            <wp:effectExtent l="0" t="0" r="0" b="3810"/>
            <wp:wrapThrough wrapText="bothSides">
              <wp:wrapPolygon edited="0">
                <wp:start x="0" y="0"/>
                <wp:lineTo x="0" y="21538"/>
                <wp:lineTo x="21515" y="21538"/>
                <wp:lineTo x="21515" y="0"/>
                <wp:lineTo x="0" y="0"/>
              </wp:wrapPolygon>
            </wp:wrapThrough>
            <wp:docPr id="1929731838"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31838" name="Imagen 2" descr="Map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245" cy="3120390"/>
                    </a:xfrm>
                    <a:prstGeom prst="rect">
                      <a:avLst/>
                    </a:prstGeom>
                  </pic:spPr>
                </pic:pic>
              </a:graphicData>
            </a:graphic>
            <wp14:sizeRelH relativeFrom="page">
              <wp14:pctWidth>0</wp14:pctWidth>
            </wp14:sizeRelH>
            <wp14:sizeRelV relativeFrom="page">
              <wp14:pctHeight>0</wp14:pctHeight>
            </wp14:sizeRelV>
          </wp:anchor>
        </w:drawing>
      </w:r>
    </w:p>
    <w:p w14:paraId="2DB51051" w14:textId="77777777" w:rsidR="00A02B66" w:rsidRPr="00363146" w:rsidRDefault="00A02B66" w:rsidP="00A02B66">
      <w:pPr>
        <w:rPr>
          <w:rFonts w:ascii="Times New Roman" w:hAnsi="Times New Roman" w:cs="Times New Roman"/>
          <w:lang w:val="en-US"/>
        </w:rPr>
      </w:pPr>
    </w:p>
    <w:p w14:paraId="163FACAD" w14:textId="77777777" w:rsidR="00A02B66" w:rsidRPr="00363146" w:rsidRDefault="00A02B66" w:rsidP="00A02B66">
      <w:pPr>
        <w:rPr>
          <w:rFonts w:ascii="Times New Roman" w:hAnsi="Times New Roman" w:cs="Times New Roman"/>
          <w:lang w:val="en-US"/>
        </w:rPr>
      </w:pPr>
    </w:p>
    <w:p w14:paraId="23D013A2" w14:textId="77777777" w:rsidR="00A02B66" w:rsidRPr="00363146" w:rsidRDefault="00A02B66" w:rsidP="00A02B66">
      <w:pPr>
        <w:pStyle w:val="Ttulo1"/>
        <w:rPr>
          <w:rFonts w:ascii="Times New Roman" w:hAnsi="Times New Roman" w:cs="Times New Roman"/>
          <w:sz w:val="24"/>
          <w:szCs w:val="24"/>
          <w:lang w:val="en-US"/>
        </w:rPr>
      </w:pPr>
    </w:p>
    <w:p w14:paraId="008DFCD5" w14:textId="77777777" w:rsidR="00A02B66" w:rsidRPr="00363146" w:rsidRDefault="00A02B66" w:rsidP="00A02B66">
      <w:pPr>
        <w:pStyle w:val="Ttulo1"/>
        <w:rPr>
          <w:rFonts w:ascii="Times New Roman" w:hAnsi="Times New Roman" w:cs="Times New Roman"/>
          <w:sz w:val="24"/>
          <w:szCs w:val="24"/>
          <w:lang w:val="en-US"/>
        </w:rPr>
      </w:pPr>
    </w:p>
    <w:p w14:paraId="622915B9" w14:textId="77777777" w:rsidR="00A02B66" w:rsidRPr="00363146" w:rsidRDefault="00A02B66" w:rsidP="00A02B66">
      <w:pPr>
        <w:pStyle w:val="Ttulo1"/>
        <w:rPr>
          <w:rFonts w:ascii="Times New Roman" w:hAnsi="Times New Roman" w:cs="Times New Roman"/>
          <w:sz w:val="24"/>
          <w:szCs w:val="24"/>
          <w:lang w:val="en-US"/>
        </w:rPr>
      </w:pPr>
    </w:p>
    <w:p w14:paraId="5D3349B3" w14:textId="77777777" w:rsidR="00A02B66" w:rsidRPr="00363146" w:rsidRDefault="00A02B66" w:rsidP="00A02B66">
      <w:pPr>
        <w:pStyle w:val="Ttulo1"/>
        <w:rPr>
          <w:rFonts w:ascii="Times New Roman" w:hAnsi="Times New Roman" w:cs="Times New Roman"/>
          <w:sz w:val="24"/>
          <w:szCs w:val="24"/>
          <w:lang w:val="en-US"/>
        </w:rPr>
      </w:pPr>
    </w:p>
    <w:p w14:paraId="139F4820" w14:textId="77777777" w:rsidR="00A02B66" w:rsidRPr="00363146" w:rsidRDefault="00A02B66" w:rsidP="00A02B66">
      <w:pPr>
        <w:pStyle w:val="Ttulo1"/>
        <w:rPr>
          <w:rFonts w:ascii="Times New Roman" w:hAnsi="Times New Roman" w:cs="Times New Roman"/>
          <w:sz w:val="24"/>
          <w:szCs w:val="24"/>
          <w:lang w:val="en-US"/>
        </w:rPr>
      </w:pPr>
    </w:p>
    <w:p w14:paraId="609E9CE9" w14:textId="77777777" w:rsidR="00A02B66" w:rsidRPr="00363146" w:rsidRDefault="00A02B66" w:rsidP="00A02B66">
      <w:pPr>
        <w:pStyle w:val="Ttulo1"/>
        <w:rPr>
          <w:rFonts w:ascii="Times New Roman" w:hAnsi="Times New Roman" w:cs="Times New Roman"/>
          <w:sz w:val="24"/>
          <w:szCs w:val="24"/>
          <w:lang w:val="en-US"/>
        </w:rPr>
      </w:pPr>
    </w:p>
    <w:p w14:paraId="3FF673B5" w14:textId="77777777" w:rsidR="00A02B66" w:rsidRPr="00363146" w:rsidRDefault="00A02B66" w:rsidP="00A02B66">
      <w:pPr>
        <w:pStyle w:val="Ttulo1"/>
        <w:rPr>
          <w:rFonts w:ascii="Times New Roman" w:hAnsi="Times New Roman" w:cs="Times New Roman"/>
          <w:sz w:val="24"/>
          <w:szCs w:val="24"/>
          <w:lang w:val="en-US"/>
        </w:rPr>
      </w:pPr>
    </w:p>
    <w:p w14:paraId="6CC1B128" w14:textId="77777777" w:rsidR="00A02B66" w:rsidRPr="00363146" w:rsidRDefault="00A02B66" w:rsidP="00A02B66">
      <w:pPr>
        <w:pStyle w:val="Ttulo1"/>
        <w:rPr>
          <w:rFonts w:ascii="Times New Roman" w:hAnsi="Times New Roman" w:cs="Times New Roman"/>
          <w:sz w:val="24"/>
          <w:szCs w:val="24"/>
          <w:lang w:val="en-US"/>
        </w:rPr>
      </w:pPr>
    </w:p>
    <w:p w14:paraId="5DB63388" w14:textId="77777777" w:rsidR="00A02B66" w:rsidRPr="00363146" w:rsidRDefault="00A02B66" w:rsidP="00A02B66">
      <w:pPr>
        <w:pStyle w:val="Ttulo1"/>
        <w:rPr>
          <w:rFonts w:ascii="Times New Roman" w:hAnsi="Times New Roman" w:cs="Times New Roman"/>
          <w:sz w:val="24"/>
          <w:szCs w:val="24"/>
          <w:lang w:val="en-US"/>
        </w:rPr>
      </w:pPr>
    </w:p>
    <w:p w14:paraId="31E3C6BE" w14:textId="77777777" w:rsidR="00A02B66" w:rsidRPr="00363146" w:rsidRDefault="00A02B66" w:rsidP="00A02B66">
      <w:pPr>
        <w:pStyle w:val="Ttulo1"/>
        <w:rPr>
          <w:rFonts w:ascii="Times New Roman" w:hAnsi="Times New Roman" w:cs="Times New Roman"/>
          <w:sz w:val="24"/>
          <w:szCs w:val="24"/>
          <w:lang w:val="en-US"/>
        </w:rPr>
      </w:pPr>
    </w:p>
    <w:p w14:paraId="0A4C34CD" w14:textId="77777777" w:rsidR="00A02B66" w:rsidRPr="00363146" w:rsidRDefault="00A02B66" w:rsidP="00A02B66">
      <w:pPr>
        <w:pStyle w:val="Ttulo1"/>
        <w:rPr>
          <w:rFonts w:ascii="Times New Roman" w:hAnsi="Times New Roman" w:cs="Times New Roman"/>
          <w:sz w:val="24"/>
          <w:szCs w:val="24"/>
          <w:lang w:val="en-US"/>
        </w:rPr>
      </w:pPr>
    </w:p>
    <w:p w14:paraId="75765425" w14:textId="77777777" w:rsidR="00363146" w:rsidRPr="00363146" w:rsidRDefault="00363146" w:rsidP="00363146">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t>EFFECTS ON RENTAL AGREEMENTS</w:t>
      </w:r>
    </w:p>
    <w:p w14:paraId="0578C468"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Lease agreements signed in municipalities declared as tensioned residential market areas must comply with a </w:t>
      </w:r>
      <w:r w:rsidRPr="00363146">
        <w:rPr>
          <w:rFonts w:ascii="Times New Roman" w:hAnsi="Times New Roman" w:cs="Times New Roman"/>
          <w:b/>
          <w:bCs/>
          <w:lang w:val="en-US"/>
        </w:rPr>
        <w:t>maximum price</w:t>
      </w:r>
      <w:r w:rsidRPr="00363146">
        <w:rPr>
          <w:rFonts w:ascii="Times New Roman" w:hAnsi="Times New Roman" w:cs="Times New Roman"/>
          <w:lang w:val="en-US"/>
        </w:rPr>
        <w:t> set by the </w:t>
      </w:r>
      <w:r w:rsidRPr="00363146">
        <w:rPr>
          <w:rFonts w:ascii="Times New Roman" w:hAnsi="Times New Roman" w:cs="Times New Roman"/>
          <w:b/>
          <w:bCs/>
          <w:lang w:val="en-US"/>
        </w:rPr>
        <w:t>Rental Price Reference Index</w:t>
      </w:r>
      <w:r w:rsidRPr="00363146">
        <w:rPr>
          <w:rFonts w:ascii="Times New Roman" w:hAnsi="Times New Roman" w:cs="Times New Roman"/>
          <w:lang w:val="en-US"/>
        </w:rPr>
        <w:t>, developed by the Generalitat of Catalonia based on:</w:t>
      </w:r>
    </w:p>
    <w:p w14:paraId="05138FB1" w14:textId="77777777" w:rsidR="00363146" w:rsidRPr="00363146" w:rsidRDefault="00363146" w:rsidP="00363146">
      <w:pPr>
        <w:numPr>
          <w:ilvl w:val="0"/>
          <w:numId w:val="35"/>
        </w:numPr>
        <w:rPr>
          <w:rFonts w:ascii="Times New Roman" w:hAnsi="Times New Roman" w:cs="Times New Roman"/>
          <w:lang w:val="en-US"/>
        </w:rPr>
      </w:pPr>
      <w:r w:rsidRPr="00363146">
        <w:rPr>
          <w:rFonts w:ascii="Times New Roman" w:hAnsi="Times New Roman" w:cs="Times New Roman"/>
          <w:lang w:val="en-US"/>
        </w:rPr>
        <w:t>Surface area</w:t>
      </w:r>
    </w:p>
    <w:p w14:paraId="5A7C3ED5" w14:textId="77777777" w:rsidR="00363146" w:rsidRPr="00363146" w:rsidRDefault="00363146" w:rsidP="00363146">
      <w:pPr>
        <w:numPr>
          <w:ilvl w:val="0"/>
          <w:numId w:val="35"/>
        </w:numPr>
        <w:rPr>
          <w:rFonts w:ascii="Times New Roman" w:hAnsi="Times New Roman" w:cs="Times New Roman"/>
          <w:lang w:val="en-US"/>
        </w:rPr>
      </w:pPr>
      <w:r w:rsidRPr="00363146">
        <w:rPr>
          <w:rFonts w:ascii="Times New Roman" w:hAnsi="Times New Roman" w:cs="Times New Roman"/>
          <w:lang w:val="en-US"/>
        </w:rPr>
        <w:t>Location</w:t>
      </w:r>
    </w:p>
    <w:p w14:paraId="6B8360CC" w14:textId="77777777" w:rsidR="00363146" w:rsidRPr="00363146" w:rsidRDefault="00363146" w:rsidP="00363146">
      <w:pPr>
        <w:numPr>
          <w:ilvl w:val="0"/>
          <w:numId w:val="35"/>
        </w:numPr>
        <w:rPr>
          <w:rFonts w:ascii="Times New Roman" w:hAnsi="Times New Roman" w:cs="Times New Roman"/>
          <w:lang w:val="en-US"/>
        </w:rPr>
      </w:pPr>
      <w:r w:rsidRPr="00363146">
        <w:rPr>
          <w:rFonts w:ascii="Times New Roman" w:hAnsi="Times New Roman" w:cs="Times New Roman"/>
          <w:lang w:val="en-US"/>
        </w:rPr>
        <w:t>Year of construction</w:t>
      </w:r>
    </w:p>
    <w:p w14:paraId="2A254FC5" w14:textId="77777777" w:rsidR="00363146" w:rsidRPr="00363146" w:rsidRDefault="00363146" w:rsidP="00363146">
      <w:pPr>
        <w:numPr>
          <w:ilvl w:val="0"/>
          <w:numId w:val="35"/>
        </w:numPr>
        <w:rPr>
          <w:rFonts w:ascii="Times New Roman" w:hAnsi="Times New Roman" w:cs="Times New Roman"/>
          <w:lang w:val="en-US"/>
        </w:rPr>
      </w:pPr>
      <w:r w:rsidRPr="00363146">
        <w:rPr>
          <w:rFonts w:ascii="Times New Roman" w:hAnsi="Times New Roman" w:cs="Times New Roman"/>
          <w:lang w:val="en-US"/>
        </w:rPr>
        <w:t>Property characteristics</w:t>
      </w:r>
    </w:p>
    <w:p w14:paraId="25626F64" w14:textId="77777777" w:rsidR="00363146" w:rsidRPr="00363146" w:rsidRDefault="00363146" w:rsidP="00363146">
      <w:pPr>
        <w:rPr>
          <w:rFonts w:ascii="Times New Roman" w:hAnsi="Times New Roman" w:cs="Times New Roman"/>
          <w:lang w:val="en-US"/>
        </w:rPr>
      </w:pPr>
    </w:p>
    <w:p w14:paraId="7472145A" w14:textId="49999E80"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The </w:t>
      </w:r>
      <w:r w:rsidRPr="00363146">
        <w:rPr>
          <w:rFonts w:ascii="Times New Roman" w:hAnsi="Times New Roman" w:cs="Times New Roman"/>
          <w:b/>
          <w:bCs/>
          <w:lang w:val="en-US"/>
        </w:rPr>
        <w:t>maximum rental price</w:t>
      </w:r>
      <w:r w:rsidRPr="00363146">
        <w:rPr>
          <w:rFonts w:ascii="Times New Roman" w:hAnsi="Times New Roman" w:cs="Times New Roman"/>
          <w:lang w:val="en-US"/>
        </w:rPr>
        <w:t> in tensioned areas depends on whether the landlord is a large property owner.</w:t>
      </w:r>
    </w:p>
    <w:p w14:paraId="5783AE17" w14:textId="77777777" w:rsidR="00363146" w:rsidRPr="00363146" w:rsidRDefault="00363146" w:rsidP="00363146">
      <w:pPr>
        <w:numPr>
          <w:ilvl w:val="0"/>
          <w:numId w:val="36"/>
        </w:numPr>
        <w:rPr>
          <w:rFonts w:ascii="Times New Roman" w:hAnsi="Times New Roman" w:cs="Times New Roman"/>
          <w:lang w:val="en-US"/>
        </w:rPr>
      </w:pPr>
      <w:r w:rsidRPr="00363146">
        <w:rPr>
          <w:rFonts w:ascii="Times New Roman" w:hAnsi="Times New Roman" w:cs="Times New Roman"/>
          <w:lang w:val="en-US"/>
        </w:rPr>
        <w:t>If the landlord </w:t>
      </w:r>
      <w:r w:rsidRPr="00363146">
        <w:rPr>
          <w:rFonts w:ascii="Times New Roman" w:hAnsi="Times New Roman" w:cs="Times New Roman"/>
          <w:b/>
          <w:bCs/>
          <w:lang w:val="en-US"/>
        </w:rPr>
        <w:t>is a large property owner</w:t>
      </w:r>
      <w:r w:rsidRPr="00363146">
        <w:rPr>
          <w:rFonts w:ascii="Times New Roman" w:hAnsi="Times New Roman" w:cs="Times New Roman"/>
          <w:lang w:val="en-US"/>
        </w:rPr>
        <w:t>, the rent must be the </w:t>
      </w:r>
      <w:r w:rsidRPr="00363146">
        <w:rPr>
          <w:rFonts w:ascii="Times New Roman" w:hAnsi="Times New Roman" w:cs="Times New Roman"/>
          <w:b/>
          <w:bCs/>
          <w:lang w:val="en-US"/>
        </w:rPr>
        <w:t>lower</w:t>
      </w:r>
      <w:r w:rsidRPr="00363146">
        <w:rPr>
          <w:rFonts w:ascii="Times New Roman" w:hAnsi="Times New Roman" w:cs="Times New Roman"/>
          <w:lang w:val="en-US"/>
        </w:rPr>
        <w:t> of the following two amounts:</w:t>
      </w:r>
    </w:p>
    <w:p w14:paraId="71BA89AF" w14:textId="77777777" w:rsidR="00363146" w:rsidRPr="00363146" w:rsidRDefault="00363146" w:rsidP="00363146">
      <w:pPr>
        <w:numPr>
          <w:ilvl w:val="1"/>
          <w:numId w:val="36"/>
        </w:numPr>
        <w:rPr>
          <w:rFonts w:ascii="Times New Roman" w:hAnsi="Times New Roman" w:cs="Times New Roman"/>
          <w:lang w:val="en-US"/>
        </w:rPr>
      </w:pPr>
      <w:r w:rsidRPr="00363146">
        <w:rPr>
          <w:rFonts w:ascii="Times New Roman" w:hAnsi="Times New Roman" w:cs="Times New Roman"/>
          <w:lang w:val="en-US"/>
        </w:rPr>
        <w:t>The price set by the rental price reference index.</w:t>
      </w:r>
    </w:p>
    <w:p w14:paraId="1C40FCE8" w14:textId="77777777" w:rsidR="00363146" w:rsidRPr="00363146" w:rsidRDefault="00363146" w:rsidP="00363146">
      <w:pPr>
        <w:numPr>
          <w:ilvl w:val="1"/>
          <w:numId w:val="36"/>
        </w:numPr>
        <w:rPr>
          <w:rFonts w:ascii="Times New Roman" w:hAnsi="Times New Roman" w:cs="Times New Roman"/>
          <w:lang w:val="en-US"/>
        </w:rPr>
      </w:pPr>
      <w:r w:rsidRPr="00363146">
        <w:rPr>
          <w:rFonts w:ascii="Times New Roman" w:hAnsi="Times New Roman" w:cs="Times New Roman"/>
          <w:lang w:val="en-US"/>
        </w:rPr>
        <w:t>The updated rent from the previous contract, if the dwelling has been rented within the last five years.</w:t>
      </w:r>
    </w:p>
    <w:p w14:paraId="695634A6" w14:textId="77777777" w:rsidR="00363146" w:rsidRPr="00363146" w:rsidRDefault="00363146" w:rsidP="00363146">
      <w:pPr>
        <w:rPr>
          <w:rFonts w:ascii="Times New Roman" w:hAnsi="Times New Roman" w:cs="Times New Roman"/>
          <w:lang w:val="en-US"/>
        </w:rPr>
      </w:pPr>
    </w:p>
    <w:p w14:paraId="04330D34" w14:textId="4C580F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If the previous rent is </w:t>
      </w:r>
      <w:r w:rsidRPr="00363146">
        <w:rPr>
          <w:rFonts w:ascii="Times New Roman" w:hAnsi="Times New Roman" w:cs="Times New Roman"/>
          <w:b/>
          <w:bCs/>
          <w:lang w:val="en-US"/>
        </w:rPr>
        <w:t>higher</w:t>
      </w:r>
      <w:r w:rsidRPr="00363146">
        <w:rPr>
          <w:rFonts w:ascii="Times New Roman" w:hAnsi="Times New Roman" w:cs="Times New Roman"/>
          <w:lang w:val="en-US"/>
        </w:rPr>
        <w:t> than the index, the rent set by the </w:t>
      </w:r>
      <w:r w:rsidRPr="00363146">
        <w:rPr>
          <w:rFonts w:ascii="Times New Roman" w:hAnsi="Times New Roman" w:cs="Times New Roman"/>
          <w:b/>
          <w:bCs/>
          <w:lang w:val="en-US"/>
        </w:rPr>
        <w:t>reference index must be applied</w:t>
      </w:r>
      <w:r w:rsidRPr="00363146">
        <w:rPr>
          <w:rFonts w:ascii="Times New Roman" w:hAnsi="Times New Roman" w:cs="Times New Roman"/>
          <w:lang w:val="en-US"/>
        </w:rPr>
        <w:t>.</w:t>
      </w:r>
    </w:p>
    <w:p w14:paraId="358E2ADB"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lastRenderedPageBreak/>
        <w:t>If the dwelling </w:t>
      </w:r>
      <w:r w:rsidRPr="00363146">
        <w:rPr>
          <w:rFonts w:ascii="Times New Roman" w:hAnsi="Times New Roman" w:cs="Times New Roman"/>
          <w:b/>
          <w:bCs/>
          <w:lang w:val="en-US"/>
        </w:rPr>
        <w:t>has not had a rental contract in the last five years</w:t>
      </w:r>
      <w:r w:rsidRPr="00363146">
        <w:rPr>
          <w:rFonts w:ascii="Times New Roman" w:hAnsi="Times New Roman" w:cs="Times New Roman"/>
          <w:lang w:val="en-US"/>
        </w:rPr>
        <w:t>, the rent will be determined </w:t>
      </w:r>
      <w:r w:rsidRPr="00363146">
        <w:rPr>
          <w:rFonts w:ascii="Times New Roman" w:hAnsi="Times New Roman" w:cs="Times New Roman"/>
          <w:b/>
          <w:bCs/>
          <w:lang w:val="en-US"/>
        </w:rPr>
        <w:t>exclusively</w:t>
      </w:r>
      <w:r w:rsidRPr="00363146">
        <w:rPr>
          <w:rFonts w:ascii="Times New Roman" w:hAnsi="Times New Roman" w:cs="Times New Roman"/>
          <w:lang w:val="en-US"/>
        </w:rPr>
        <w:t> according to the reference index.</w:t>
      </w:r>
    </w:p>
    <w:p w14:paraId="3B412BE4" w14:textId="77777777" w:rsidR="00363146" w:rsidRPr="00363146" w:rsidRDefault="00363146" w:rsidP="00363146">
      <w:pPr>
        <w:rPr>
          <w:rFonts w:ascii="Times New Roman" w:hAnsi="Times New Roman" w:cs="Times New Roman"/>
          <w:lang w:val="en-US"/>
        </w:rPr>
      </w:pPr>
    </w:p>
    <w:p w14:paraId="2A0ED86B" w14:textId="77777777" w:rsidR="00363146" w:rsidRPr="00363146" w:rsidRDefault="00363146" w:rsidP="00363146">
      <w:pPr>
        <w:numPr>
          <w:ilvl w:val="0"/>
          <w:numId w:val="37"/>
        </w:numPr>
        <w:rPr>
          <w:rFonts w:ascii="Times New Roman" w:hAnsi="Times New Roman" w:cs="Times New Roman"/>
          <w:lang w:val="en-US"/>
        </w:rPr>
      </w:pPr>
      <w:r w:rsidRPr="00363146">
        <w:rPr>
          <w:rFonts w:ascii="Times New Roman" w:hAnsi="Times New Roman" w:cs="Times New Roman"/>
          <w:lang w:val="en-US"/>
        </w:rPr>
        <w:t>If the landlord </w:t>
      </w:r>
      <w:r w:rsidRPr="00363146">
        <w:rPr>
          <w:rFonts w:ascii="Times New Roman" w:hAnsi="Times New Roman" w:cs="Times New Roman"/>
          <w:b/>
          <w:bCs/>
          <w:lang w:val="en-US"/>
        </w:rPr>
        <w:t>is not a large property owner</w:t>
      </w:r>
      <w:r w:rsidRPr="00363146">
        <w:rPr>
          <w:rFonts w:ascii="Times New Roman" w:hAnsi="Times New Roman" w:cs="Times New Roman"/>
          <w:lang w:val="en-US"/>
        </w:rPr>
        <w:t>, the rent must be set according to the </w:t>
      </w:r>
      <w:r w:rsidRPr="00363146">
        <w:rPr>
          <w:rFonts w:ascii="Times New Roman" w:hAnsi="Times New Roman" w:cs="Times New Roman"/>
          <w:b/>
          <w:bCs/>
          <w:lang w:val="en-US"/>
        </w:rPr>
        <w:t>previous contract rent</w:t>
      </w:r>
      <w:r w:rsidRPr="00363146">
        <w:rPr>
          <w:rFonts w:ascii="Times New Roman" w:hAnsi="Times New Roman" w:cs="Times New Roman"/>
          <w:lang w:val="en-US"/>
        </w:rPr>
        <w:t> in force during the last five years.</w:t>
      </w:r>
    </w:p>
    <w:p w14:paraId="169157F1" w14:textId="77777777" w:rsidR="00363146" w:rsidRPr="00363146" w:rsidRDefault="00363146" w:rsidP="00363146">
      <w:pPr>
        <w:numPr>
          <w:ilvl w:val="0"/>
          <w:numId w:val="37"/>
        </w:numPr>
        <w:rPr>
          <w:rFonts w:ascii="Times New Roman" w:hAnsi="Times New Roman" w:cs="Times New Roman"/>
          <w:lang w:val="en-US"/>
        </w:rPr>
      </w:pPr>
      <w:r w:rsidRPr="00363146">
        <w:rPr>
          <w:rFonts w:ascii="Times New Roman" w:hAnsi="Times New Roman" w:cs="Times New Roman"/>
          <w:lang w:val="en-US"/>
        </w:rPr>
        <w:t>If the reference index sets a lower rent, the landlord may </w:t>
      </w:r>
      <w:r w:rsidRPr="00363146">
        <w:rPr>
          <w:rFonts w:ascii="Times New Roman" w:hAnsi="Times New Roman" w:cs="Times New Roman"/>
          <w:b/>
          <w:bCs/>
          <w:lang w:val="en-US"/>
        </w:rPr>
        <w:t>voluntarily (not obligatorily)</w:t>
      </w:r>
      <w:r w:rsidRPr="00363146">
        <w:rPr>
          <w:rFonts w:ascii="Times New Roman" w:hAnsi="Times New Roman" w:cs="Times New Roman"/>
          <w:lang w:val="en-US"/>
        </w:rPr>
        <w:t> choose to apply the index price.</w:t>
      </w:r>
    </w:p>
    <w:p w14:paraId="60E76E93" w14:textId="77777777" w:rsidR="00363146" w:rsidRPr="00363146" w:rsidRDefault="00363146" w:rsidP="00363146">
      <w:pPr>
        <w:numPr>
          <w:ilvl w:val="0"/>
          <w:numId w:val="37"/>
        </w:numPr>
        <w:rPr>
          <w:rFonts w:ascii="Times New Roman" w:hAnsi="Times New Roman" w:cs="Times New Roman"/>
          <w:lang w:val="en-US"/>
        </w:rPr>
      </w:pPr>
      <w:r w:rsidRPr="00363146">
        <w:rPr>
          <w:rFonts w:ascii="Times New Roman" w:hAnsi="Times New Roman" w:cs="Times New Roman"/>
          <w:lang w:val="en-US"/>
        </w:rPr>
        <w:t>If no rental contract has been in force in the last five years, the price will also be set according to the </w:t>
      </w:r>
      <w:r w:rsidRPr="00363146">
        <w:rPr>
          <w:rFonts w:ascii="Times New Roman" w:hAnsi="Times New Roman" w:cs="Times New Roman"/>
          <w:b/>
          <w:bCs/>
          <w:lang w:val="en-US"/>
        </w:rPr>
        <w:t>reference index</w:t>
      </w:r>
      <w:r w:rsidRPr="00363146">
        <w:rPr>
          <w:rFonts w:ascii="Times New Roman" w:hAnsi="Times New Roman" w:cs="Times New Roman"/>
          <w:lang w:val="en-US"/>
        </w:rPr>
        <w:t>.</w:t>
      </w:r>
    </w:p>
    <w:p w14:paraId="2E6C00E8" w14:textId="77777777" w:rsidR="00363146" w:rsidRPr="00363146" w:rsidRDefault="00363146" w:rsidP="00363146">
      <w:pPr>
        <w:rPr>
          <w:rFonts w:ascii="Times New Roman" w:hAnsi="Times New Roman" w:cs="Times New Roman"/>
          <w:lang w:val="en-US"/>
        </w:rPr>
      </w:pPr>
    </w:p>
    <w:p w14:paraId="2989D5D2" w14:textId="4E3DA83D"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The price range established by the reference index can be consulted on the </w:t>
      </w:r>
      <w:r w:rsidRPr="00363146">
        <w:rPr>
          <w:rFonts w:ascii="Times New Roman" w:hAnsi="Times New Roman" w:cs="Times New Roman"/>
          <w:b/>
          <w:bCs/>
          <w:lang w:val="en-US"/>
        </w:rPr>
        <w:t>official State platform</w:t>
      </w:r>
      <w:r w:rsidRPr="00363146">
        <w:rPr>
          <w:rFonts w:ascii="Times New Roman" w:hAnsi="Times New Roman" w:cs="Times New Roman"/>
          <w:lang w:val="en-US"/>
        </w:rPr>
        <w:t>, through the </w:t>
      </w:r>
      <w:hyperlink r:id="rId12" w:tgtFrame="_blank" w:history="1">
        <w:r w:rsidRPr="00363146">
          <w:rPr>
            <w:rStyle w:val="Hipervnculo"/>
            <w:rFonts w:ascii="Times New Roman" w:hAnsi="Times New Roman" w:cs="Times New Roman"/>
            <w:b/>
            <w:bCs/>
            <w:lang w:val="en-US"/>
          </w:rPr>
          <w:t>Rental Price Reference Index</w:t>
        </w:r>
        <w:r w:rsidRPr="00363146">
          <w:rPr>
            <w:rStyle w:val="Hipervnculo"/>
            <w:rFonts w:ascii="Times New Roman" w:hAnsi="Times New Roman" w:cs="Times New Roman"/>
            <w:lang w:val="en-US"/>
          </w:rPr>
          <w:t>.</w:t>
        </w:r>
      </w:hyperlink>
    </w:p>
    <w:p w14:paraId="0CC1B37E" w14:textId="77777777" w:rsidR="00A02B66" w:rsidRPr="00363146" w:rsidRDefault="00A02B66" w:rsidP="00A02B66">
      <w:pPr>
        <w:rPr>
          <w:rFonts w:ascii="Times New Roman" w:hAnsi="Times New Roman" w:cs="Times New Roman"/>
          <w:lang w:val="en-US"/>
        </w:rPr>
      </w:pPr>
    </w:p>
    <w:p w14:paraId="03A65570" w14:textId="77777777" w:rsidR="00363146" w:rsidRPr="00363146" w:rsidRDefault="00363146" w:rsidP="00363146">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t xml:space="preserve">OBLIGATION TO REGISTER IN THE LARGE PROPERTY </w:t>
      </w:r>
      <w:proofErr w:type="gramStart"/>
      <w:r w:rsidRPr="00363146">
        <w:rPr>
          <w:rFonts w:ascii="Times New Roman" w:hAnsi="Times New Roman" w:cs="Times New Roman"/>
          <w:b/>
          <w:bCs/>
          <w:color w:val="156082" w:themeColor="accent1"/>
          <w:lang w:val="en-US"/>
        </w:rPr>
        <w:t>OWNERS</w:t>
      </w:r>
      <w:proofErr w:type="gramEnd"/>
      <w:r w:rsidRPr="00363146">
        <w:rPr>
          <w:rFonts w:ascii="Times New Roman" w:hAnsi="Times New Roman" w:cs="Times New Roman"/>
          <w:b/>
          <w:bCs/>
          <w:color w:val="156082" w:themeColor="accent1"/>
          <w:lang w:val="en-US"/>
        </w:rPr>
        <w:t xml:space="preserve"> REGISTRY OF CATALONIA</w:t>
      </w:r>
    </w:p>
    <w:p w14:paraId="396A9B9D"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Large property owners are required to register in the </w:t>
      </w:r>
      <w:hyperlink r:id="rId13" w:tgtFrame="_blank" w:history="1">
        <w:r w:rsidRPr="00363146">
          <w:rPr>
            <w:rStyle w:val="Hipervnculo"/>
            <w:rFonts w:ascii="Times New Roman" w:hAnsi="Times New Roman" w:cs="Times New Roman"/>
            <w:lang w:val="en-US"/>
          </w:rPr>
          <w:t>Large Property Owners Registry of the Generalitat of Catalonia</w:t>
        </w:r>
      </w:hyperlink>
      <w:r w:rsidRPr="00363146">
        <w:rPr>
          <w:rFonts w:ascii="Times New Roman" w:hAnsi="Times New Roman" w:cs="Times New Roman"/>
          <w:lang w:val="en-US"/>
        </w:rPr>
        <w:t>, indicating the total number of dwellings they own, including those corresponding to them as members of communities of property. Failure to comply constitutes an administrative offence, punishable by fines ranging from €9,001 to €90,000, depending on the severity.</w:t>
      </w:r>
    </w:p>
    <w:p w14:paraId="6176409E" w14:textId="77777777" w:rsidR="00363146" w:rsidRPr="00363146" w:rsidRDefault="00363146" w:rsidP="00363146">
      <w:pPr>
        <w:rPr>
          <w:rFonts w:ascii="Times New Roman" w:hAnsi="Times New Roman" w:cs="Times New Roman"/>
          <w:lang w:val="en-US"/>
        </w:rPr>
      </w:pPr>
    </w:p>
    <w:p w14:paraId="49E09B7E"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Currently, the regulation formally governing registration has not yet been approved. Until it enters into force, large property owners must notify the Catalan Housing Agency of their status, also indicating the number of dwellings they own.</w:t>
      </w:r>
    </w:p>
    <w:p w14:paraId="7A17F751" w14:textId="77777777" w:rsidR="00363146" w:rsidRPr="00363146" w:rsidRDefault="00363146" w:rsidP="00363146">
      <w:pPr>
        <w:rPr>
          <w:rFonts w:ascii="Times New Roman" w:hAnsi="Times New Roman" w:cs="Times New Roman"/>
          <w:lang w:val="en-US"/>
        </w:rPr>
      </w:pPr>
    </w:p>
    <w:p w14:paraId="48BA1939" w14:textId="77777777" w:rsidR="00363146" w:rsidRPr="00363146" w:rsidRDefault="00363146" w:rsidP="00363146">
      <w:pPr>
        <w:rPr>
          <w:rFonts w:ascii="Times New Roman" w:hAnsi="Times New Roman" w:cs="Times New Roman"/>
          <w:lang w:val="en-US"/>
        </w:rPr>
      </w:pPr>
      <w:r w:rsidRPr="00363146">
        <w:rPr>
          <w:rFonts w:ascii="Times New Roman" w:hAnsi="Times New Roman" w:cs="Times New Roman"/>
          <w:lang w:val="en-US"/>
        </w:rPr>
        <w:t>Once the regulation is approved, it will be mandatory to apply for registration in accordance with Additional Provision 27 of Law 18/2007, of 28 September, on the right to housing.</w:t>
      </w:r>
    </w:p>
    <w:p w14:paraId="283E1AE2" w14:textId="77777777" w:rsidR="00A02B66" w:rsidRPr="00363146" w:rsidRDefault="00A02B66" w:rsidP="00A02B66">
      <w:pPr>
        <w:rPr>
          <w:rFonts w:ascii="Times New Roman" w:hAnsi="Times New Roman" w:cs="Times New Roman"/>
          <w:lang w:val="en-US"/>
        </w:rPr>
      </w:pPr>
    </w:p>
    <w:p w14:paraId="3DB308FD" w14:textId="77777777" w:rsidR="00A02B66" w:rsidRPr="00363146" w:rsidRDefault="00A02B66" w:rsidP="00A02B66">
      <w:pPr>
        <w:rPr>
          <w:rFonts w:ascii="Times New Roman" w:hAnsi="Times New Roman" w:cs="Times New Roman"/>
          <w:lang w:val="en-US"/>
        </w:rPr>
      </w:pPr>
    </w:p>
    <w:p w14:paraId="1AF78295" w14:textId="77777777" w:rsidR="00A02B66" w:rsidRPr="00363146" w:rsidRDefault="00A02B66" w:rsidP="00A02B66">
      <w:pPr>
        <w:rPr>
          <w:rFonts w:ascii="Times New Roman" w:hAnsi="Times New Roman" w:cs="Times New Roman"/>
          <w:lang w:val="en-US"/>
        </w:rPr>
      </w:pPr>
    </w:p>
    <w:p w14:paraId="0FB5234B" w14:textId="77777777" w:rsidR="00A02B66" w:rsidRPr="00363146" w:rsidRDefault="00A02B66" w:rsidP="00A02B66">
      <w:pPr>
        <w:rPr>
          <w:rFonts w:ascii="Times New Roman" w:hAnsi="Times New Roman" w:cs="Times New Roman"/>
          <w:lang w:val="en-US"/>
        </w:rPr>
      </w:pPr>
    </w:p>
    <w:p w14:paraId="2F0B648D" w14:textId="77777777" w:rsidR="00A02B66" w:rsidRPr="00363146" w:rsidRDefault="00A02B66" w:rsidP="00A02B66">
      <w:pPr>
        <w:rPr>
          <w:rFonts w:ascii="Times New Roman" w:hAnsi="Times New Roman" w:cs="Times New Roman"/>
          <w:lang w:val="en-US"/>
        </w:rPr>
      </w:pPr>
    </w:p>
    <w:p w14:paraId="15F846DA" w14:textId="77777777" w:rsidR="00363146" w:rsidRPr="00363146" w:rsidRDefault="00363146" w:rsidP="00363146">
      <w:pPr>
        <w:rPr>
          <w:rFonts w:ascii="Times New Roman" w:hAnsi="Times New Roman" w:cs="Times New Roman"/>
          <w:b/>
          <w:bCs/>
          <w:color w:val="156082" w:themeColor="accent1"/>
          <w:lang w:val="en-US"/>
        </w:rPr>
      </w:pPr>
      <w:r w:rsidRPr="00363146">
        <w:rPr>
          <w:rFonts w:ascii="Times New Roman" w:hAnsi="Times New Roman" w:cs="Times New Roman"/>
          <w:b/>
          <w:bCs/>
          <w:color w:val="156082" w:themeColor="accent1"/>
          <w:lang w:val="en-US"/>
        </w:rPr>
        <w:lastRenderedPageBreak/>
        <w:t>IN SUMMARY</w:t>
      </w:r>
    </w:p>
    <w:p w14:paraId="66B6E050" w14:textId="77777777" w:rsidR="00363146" w:rsidRPr="00363146" w:rsidRDefault="00363146">
      <w:pPr>
        <w:rPr>
          <w:rFonts w:ascii="Times New Roman" w:hAnsi="Times New Roman" w:cs="Times New Roman"/>
          <w:lang w:val="en-US"/>
        </w:rPr>
      </w:pPr>
      <w:r w:rsidRPr="00363146">
        <w:rPr>
          <w:rFonts w:ascii="Times New Roman" w:hAnsi="Times New Roman" w:cs="Times New Roman"/>
          <w:lang w:val="en-US"/>
        </w:rPr>
        <w:t>Catalonia is experiencing a profound shift in housing policy. The regulation of tensioned areas and the definition of large property owners aim to balance the rental market, ensuring fairer prices and responsible use of the housing stock.</w:t>
      </w:r>
    </w:p>
    <w:p w14:paraId="3FAADCF5" w14:textId="3E3086F9" w:rsidR="004F6FB7" w:rsidRPr="00363146" w:rsidRDefault="00363146">
      <w:pPr>
        <w:rPr>
          <w:lang w:val="en-US"/>
        </w:rPr>
      </w:pPr>
      <w:r w:rsidRPr="00363146">
        <w:rPr>
          <w:rFonts w:ascii="Times New Roman" w:hAnsi="Times New Roman" w:cs="Times New Roman"/>
          <w:lang w:val="en-US"/>
        </w:rPr>
        <w:t xml:space="preserve">Their success will depend on effective implementation combining control, transparency and sufficient supply, without </w:t>
      </w:r>
      <w:proofErr w:type="spellStart"/>
      <w:r w:rsidRPr="00363146">
        <w:rPr>
          <w:rFonts w:ascii="Times New Roman" w:hAnsi="Times New Roman" w:cs="Times New Roman"/>
          <w:lang w:val="en-US"/>
        </w:rPr>
        <w:t>jeopardising</w:t>
      </w:r>
      <w:proofErr w:type="spellEnd"/>
      <w:r w:rsidRPr="00363146">
        <w:rPr>
          <w:rFonts w:ascii="Times New Roman" w:hAnsi="Times New Roman" w:cs="Times New Roman"/>
          <w:lang w:val="en-US"/>
        </w:rPr>
        <w:t xml:space="preserve"> access to housing.</w:t>
      </w:r>
    </w:p>
    <w:sectPr w:rsidR="004F6FB7" w:rsidRPr="00363146">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639D9" w14:textId="77777777" w:rsidR="009A67E9" w:rsidRDefault="009A67E9" w:rsidP="00A02B66">
      <w:pPr>
        <w:spacing w:line="240" w:lineRule="auto"/>
      </w:pPr>
      <w:r>
        <w:separator/>
      </w:r>
    </w:p>
  </w:endnote>
  <w:endnote w:type="continuationSeparator" w:id="0">
    <w:p w14:paraId="5BE4FA80" w14:textId="77777777" w:rsidR="009A67E9" w:rsidRDefault="009A67E9" w:rsidP="00A02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New Roman (Cuerpo en alfa">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1)">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561A" w14:textId="77777777" w:rsidR="00A02B66" w:rsidRDefault="00A02B66" w:rsidP="00A02B66">
    <w:pPr>
      <w:pStyle w:val="Piedepgina"/>
      <w:jc w:val="center"/>
      <w:rPr>
        <w:rFonts w:ascii="CG Times (W1)" w:hAnsi="CG Times (W1)"/>
        <w:color w:val="747474" w:themeColor="background2" w:themeShade="80"/>
        <w:sz w:val="16"/>
        <w:szCs w:val="16"/>
      </w:rPr>
    </w:pPr>
  </w:p>
  <w:p w14:paraId="35A167C8" w14:textId="5FA7D8F8" w:rsidR="00A02B66" w:rsidRPr="00A02B66" w:rsidRDefault="00363146" w:rsidP="00363146">
    <w:pPr>
      <w:pStyle w:val="Piedepgina"/>
      <w:jc w:val="center"/>
      <w:rPr>
        <w:rFonts w:ascii="CG Times (W1)" w:hAnsi="CG Times (W1)"/>
        <w:color w:val="747474" w:themeColor="background2" w:themeShade="80"/>
        <w:sz w:val="16"/>
        <w:szCs w:val="16"/>
      </w:rPr>
    </w:pPr>
    <w:r w:rsidRPr="00363146">
      <w:rPr>
        <w:rFonts w:ascii="CG Times (W1)" w:hAnsi="CG Times (W1)"/>
        <w:color w:val="747474" w:themeColor="background2" w:themeShade="80"/>
        <w:sz w:val="16"/>
        <w:szCs w:val="16"/>
      </w:rPr>
      <w:t xml:space="preserve">Rambla de Catalunya 123, 1st </w:t>
    </w:r>
    <w:proofErr w:type="spellStart"/>
    <w:r w:rsidRPr="00363146">
      <w:rPr>
        <w:rFonts w:ascii="CG Times (W1)" w:hAnsi="CG Times (W1)"/>
        <w:color w:val="747474" w:themeColor="background2" w:themeShade="80"/>
        <w:sz w:val="16"/>
        <w:szCs w:val="16"/>
      </w:rPr>
      <w:t>Floor</w:t>
    </w:r>
    <w:proofErr w:type="spellEnd"/>
    <w:r w:rsidRPr="00363146">
      <w:rPr>
        <w:rFonts w:ascii="CG Times (W1)" w:hAnsi="CG Times (W1)"/>
        <w:color w:val="747474" w:themeColor="background2" w:themeShade="80"/>
        <w:sz w:val="16"/>
        <w:szCs w:val="16"/>
      </w:rPr>
      <w:br/>
      <w:t>Tel. +34 93 238 89 10 – Fax +34 93 238 01 56</w:t>
    </w:r>
    <w:r w:rsidRPr="00363146">
      <w:rPr>
        <w:rFonts w:ascii="CG Times (W1)" w:hAnsi="CG Times (W1)"/>
        <w:color w:val="747474" w:themeColor="background2" w:themeShade="80"/>
        <w:sz w:val="16"/>
        <w:szCs w:val="16"/>
      </w:rPr>
      <w:br/>
      <w:t>08008 Barcelona</w:t>
    </w:r>
    <w:r w:rsidRPr="00363146">
      <w:rPr>
        <w:rFonts w:ascii="CG Times (W1)" w:hAnsi="CG Times (W1)"/>
        <w:color w:val="747474" w:themeColor="background2" w:themeShade="80"/>
        <w:sz w:val="16"/>
        <w:szCs w:val="16"/>
      </w:rPr>
      <w:br/>
    </w:r>
    <w:hyperlink r:id="rId1" w:tgtFrame="_new" w:history="1">
      <w:r w:rsidRPr="00363146">
        <w:rPr>
          <w:rStyle w:val="Hipervnculo"/>
          <w:rFonts w:ascii="CG Times (W1)" w:hAnsi="CG Times (W1)"/>
          <w:sz w:val="16"/>
          <w:szCs w:val="16"/>
        </w:rPr>
        <w:t>www.maluquerabogados.com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6F6D2" w14:textId="77777777" w:rsidR="009A67E9" w:rsidRDefault="009A67E9" w:rsidP="00A02B66">
      <w:pPr>
        <w:spacing w:line="240" w:lineRule="auto"/>
      </w:pPr>
      <w:r>
        <w:separator/>
      </w:r>
    </w:p>
  </w:footnote>
  <w:footnote w:type="continuationSeparator" w:id="0">
    <w:p w14:paraId="2D70D8E8" w14:textId="77777777" w:rsidR="009A67E9" w:rsidRDefault="009A67E9" w:rsidP="00A02B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81B30" w14:textId="529BB07E" w:rsidR="00A02B66" w:rsidRDefault="00A02B66">
    <w:pPr>
      <w:pStyle w:val="Encabezado"/>
    </w:pPr>
    <w:r>
      <w:rPr>
        <w:noProof/>
      </w:rPr>
      <w:drawing>
        <wp:anchor distT="0" distB="0" distL="114300" distR="114300" simplePos="0" relativeHeight="251659264" behindDoc="0" locked="0" layoutInCell="1" allowOverlap="1" wp14:anchorId="39CEB9B3" wp14:editId="399EA7A0">
          <wp:simplePos x="0" y="0"/>
          <wp:positionH relativeFrom="column">
            <wp:posOffset>1887794</wp:posOffset>
          </wp:positionH>
          <wp:positionV relativeFrom="paragraph">
            <wp:posOffset>-61595</wp:posOffset>
          </wp:positionV>
          <wp:extent cx="1308100" cy="252730"/>
          <wp:effectExtent l="0" t="0" r="0" b="1270"/>
          <wp:wrapThrough wrapText="bothSides">
            <wp:wrapPolygon edited="0">
              <wp:start x="0" y="0"/>
              <wp:lineTo x="0" y="20623"/>
              <wp:lineTo x="12163" y="20623"/>
              <wp:lineTo x="21390" y="15196"/>
              <wp:lineTo x="21390" y="10854"/>
              <wp:lineTo x="20971" y="0"/>
              <wp:lineTo x="0" y="0"/>
            </wp:wrapPolygon>
          </wp:wrapThrough>
          <wp:docPr id="144632425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24253"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308100" cy="2527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8D0"/>
    <w:multiLevelType w:val="multilevel"/>
    <w:tmpl w:val="35A8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42BC3"/>
    <w:multiLevelType w:val="multilevel"/>
    <w:tmpl w:val="0D8E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A577C"/>
    <w:multiLevelType w:val="multilevel"/>
    <w:tmpl w:val="E02E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3095A"/>
    <w:multiLevelType w:val="multilevel"/>
    <w:tmpl w:val="F392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3BE1"/>
    <w:multiLevelType w:val="multilevel"/>
    <w:tmpl w:val="F2A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C0818"/>
    <w:multiLevelType w:val="multilevel"/>
    <w:tmpl w:val="6C6C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47B60"/>
    <w:multiLevelType w:val="multilevel"/>
    <w:tmpl w:val="DF4A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361D5"/>
    <w:multiLevelType w:val="multilevel"/>
    <w:tmpl w:val="EF6A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05DE2"/>
    <w:multiLevelType w:val="multilevel"/>
    <w:tmpl w:val="F39E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41117"/>
    <w:multiLevelType w:val="hybridMultilevel"/>
    <w:tmpl w:val="DB527BFE"/>
    <w:lvl w:ilvl="0" w:tplc="C3704FF6">
      <w:start w:val="1"/>
      <w:numFmt w:val="bullet"/>
      <w:lvlText w:val=""/>
      <w:lvlJc w:val="left"/>
      <w:pPr>
        <w:ind w:left="1080" w:hanging="360"/>
      </w:pPr>
      <w:rPr>
        <w:rFonts w:ascii="Symbol" w:hAnsi="Symbol" w:hint="default"/>
        <w:b/>
        <w:color w:val="auto"/>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14646EAC"/>
    <w:multiLevelType w:val="multilevel"/>
    <w:tmpl w:val="BCBE67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307B63"/>
    <w:multiLevelType w:val="multilevel"/>
    <w:tmpl w:val="D154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03885"/>
    <w:multiLevelType w:val="multilevel"/>
    <w:tmpl w:val="002A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5F23CF"/>
    <w:multiLevelType w:val="multilevel"/>
    <w:tmpl w:val="CA1E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123F1"/>
    <w:multiLevelType w:val="multilevel"/>
    <w:tmpl w:val="0C4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C86444"/>
    <w:multiLevelType w:val="multilevel"/>
    <w:tmpl w:val="C708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CA53C3"/>
    <w:multiLevelType w:val="multilevel"/>
    <w:tmpl w:val="4EC8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FA7E8A"/>
    <w:multiLevelType w:val="multilevel"/>
    <w:tmpl w:val="9E30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F5C58"/>
    <w:multiLevelType w:val="multilevel"/>
    <w:tmpl w:val="E71E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A01C3"/>
    <w:multiLevelType w:val="multilevel"/>
    <w:tmpl w:val="9940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4044B4"/>
    <w:multiLevelType w:val="multilevel"/>
    <w:tmpl w:val="D7D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75622"/>
    <w:multiLevelType w:val="multilevel"/>
    <w:tmpl w:val="18D6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6650B"/>
    <w:multiLevelType w:val="multilevel"/>
    <w:tmpl w:val="2198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43552"/>
    <w:multiLevelType w:val="multilevel"/>
    <w:tmpl w:val="B3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A0200B"/>
    <w:multiLevelType w:val="multilevel"/>
    <w:tmpl w:val="E5744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25078"/>
    <w:multiLevelType w:val="multilevel"/>
    <w:tmpl w:val="9440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15FB8"/>
    <w:multiLevelType w:val="multilevel"/>
    <w:tmpl w:val="ABB6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93788"/>
    <w:multiLevelType w:val="multilevel"/>
    <w:tmpl w:val="521A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F51F9"/>
    <w:multiLevelType w:val="multilevel"/>
    <w:tmpl w:val="E8E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921E51"/>
    <w:multiLevelType w:val="multilevel"/>
    <w:tmpl w:val="7D94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833FB"/>
    <w:multiLevelType w:val="multilevel"/>
    <w:tmpl w:val="CF2C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E38B1"/>
    <w:multiLevelType w:val="multilevel"/>
    <w:tmpl w:val="350C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B0244D"/>
    <w:multiLevelType w:val="multilevel"/>
    <w:tmpl w:val="B57C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6E421A"/>
    <w:multiLevelType w:val="multilevel"/>
    <w:tmpl w:val="601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B61F3A"/>
    <w:multiLevelType w:val="multilevel"/>
    <w:tmpl w:val="4796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270BB2"/>
    <w:multiLevelType w:val="multilevel"/>
    <w:tmpl w:val="B998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3F2CE5"/>
    <w:multiLevelType w:val="hybridMultilevel"/>
    <w:tmpl w:val="24E26F90"/>
    <w:lvl w:ilvl="0" w:tplc="9F1C6B06">
      <w:numFmt w:val="bullet"/>
      <w:lvlText w:val="-"/>
      <w:lvlJc w:val="left"/>
      <w:pPr>
        <w:ind w:left="720" w:hanging="360"/>
      </w:pPr>
      <w:rPr>
        <w:rFonts w:ascii="Times New Roman" w:eastAsiaTheme="minorHAnsi" w:hAnsi="Times New Roman" w:cs="Times New Roman"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3870894">
    <w:abstractNumId w:val="26"/>
  </w:num>
  <w:num w:numId="2" w16cid:durableId="561674060">
    <w:abstractNumId w:val="2"/>
  </w:num>
  <w:num w:numId="3" w16cid:durableId="361371236">
    <w:abstractNumId w:val="10"/>
  </w:num>
  <w:num w:numId="4" w16cid:durableId="1916670927">
    <w:abstractNumId w:val="16"/>
  </w:num>
  <w:num w:numId="5" w16cid:durableId="1192113379">
    <w:abstractNumId w:val="34"/>
  </w:num>
  <w:num w:numId="6" w16cid:durableId="1835217883">
    <w:abstractNumId w:val="29"/>
  </w:num>
  <w:num w:numId="7" w16cid:durableId="1951349253">
    <w:abstractNumId w:val="6"/>
  </w:num>
  <w:num w:numId="8" w16cid:durableId="700202683">
    <w:abstractNumId w:val="27"/>
  </w:num>
  <w:num w:numId="9" w16cid:durableId="18820113">
    <w:abstractNumId w:val="8"/>
  </w:num>
  <w:num w:numId="10" w16cid:durableId="76178578">
    <w:abstractNumId w:val="12"/>
  </w:num>
  <w:num w:numId="11" w16cid:durableId="1108813301">
    <w:abstractNumId w:val="9"/>
  </w:num>
  <w:num w:numId="12" w16cid:durableId="1542476885">
    <w:abstractNumId w:val="19"/>
  </w:num>
  <w:num w:numId="13" w16cid:durableId="476730619">
    <w:abstractNumId w:val="5"/>
  </w:num>
  <w:num w:numId="14" w16cid:durableId="2067026370">
    <w:abstractNumId w:val="36"/>
  </w:num>
  <w:num w:numId="15" w16cid:durableId="1077245585">
    <w:abstractNumId w:val="21"/>
  </w:num>
  <w:num w:numId="16" w16cid:durableId="969631187">
    <w:abstractNumId w:val="31"/>
  </w:num>
  <w:num w:numId="17" w16cid:durableId="1933583195">
    <w:abstractNumId w:val="17"/>
  </w:num>
  <w:num w:numId="18" w16cid:durableId="1996951196">
    <w:abstractNumId w:val="23"/>
  </w:num>
  <w:num w:numId="19" w16cid:durableId="401417222">
    <w:abstractNumId w:val="13"/>
  </w:num>
  <w:num w:numId="20" w16cid:durableId="1495606275">
    <w:abstractNumId w:val="14"/>
  </w:num>
  <w:num w:numId="21" w16cid:durableId="1678770960">
    <w:abstractNumId w:val="18"/>
  </w:num>
  <w:num w:numId="22" w16cid:durableId="242616843">
    <w:abstractNumId w:val="20"/>
  </w:num>
  <w:num w:numId="23" w16cid:durableId="228617353">
    <w:abstractNumId w:val="32"/>
  </w:num>
  <w:num w:numId="24" w16cid:durableId="1923945693">
    <w:abstractNumId w:val="1"/>
  </w:num>
  <w:num w:numId="25" w16cid:durableId="573977978">
    <w:abstractNumId w:val="4"/>
  </w:num>
  <w:num w:numId="26" w16cid:durableId="1869829231">
    <w:abstractNumId w:val="22"/>
  </w:num>
  <w:num w:numId="27" w16cid:durableId="1070615293">
    <w:abstractNumId w:val="33"/>
  </w:num>
  <w:num w:numId="28" w16cid:durableId="413547256">
    <w:abstractNumId w:val="3"/>
  </w:num>
  <w:num w:numId="29" w16cid:durableId="649947780">
    <w:abstractNumId w:val="0"/>
  </w:num>
  <w:num w:numId="30" w16cid:durableId="543761531">
    <w:abstractNumId w:val="11"/>
  </w:num>
  <w:num w:numId="31" w16cid:durableId="1862670010">
    <w:abstractNumId w:val="30"/>
  </w:num>
  <w:num w:numId="32" w16cid:durableId="1197354000">
    <w:abstractNumId w:val="7"/>
  </w:num>
  <w:num w:numId="33" w16cid:durableId="1947351290">
    <w:abstractNumId w:val="25"/>
  </w:num>
  <w:num w:numId="34" w16cid:durableId="1075082908">
    <w:abstractNumId w:val="15"/>
  </w:num>
  <w:num w:numId="35" w16cid:durableId="1986858330">
    <w:abstractNumId w:val="28"/>
  </w:num>
  <w:num w:numId="36" w16cid:durableId="372463748">
    <w:abstractNumId w:val="24"/>
  </w:num>
  <w:num w:numId="37" w16cid:durableId="112265030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B66"/>
    <w:rsid w:val="00340224"/>
    <w:rsid w:val="00363146"/>
    <w:rsid w:val="00440BF9"/>
    <w:rsid w:val="004C7FEE"/>
    <w:rsid w:val="004F6FB7"/>
    <w:rsid w:val="005D2605"/>
    <w:rsid w:val="00855ED8"/>
    <w:rsid w:val="008E139A"/>
    <w:rsid w:val="00933716"/>
    <w:rsid w:val="009A67E9"/>
    <w:rsid w:val="00A02B66"/>
    <w:rsid w:val="00A344A3"/>
    <w:rsid w:val="00B05B16"/>
    <w:rsid w:val="00FD71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3F2C5C0"/>
  <w15:chartTrackingRefBased/>
  <w15:docId w15:val="{6BF12662-57A5-5A4F-B11E-1F291F22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imes New Roman (Cuerpo en alfa"/>
        <w:kern w:val="2"/>
        <w:sz w:val="22"/>
        <w:szCs w:val="22"/>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B66"/>
    <w:pPr>
      <w:spacing w:line="360" w:lineRule="auto"/>
      <w:jc w:val="both"/>
    </w:pPr>
    <w:rPr>
      <w:rFonts w:cstheme="minorBidi"/>
      <w:sz w:val="24"/>
      <w:szCs w:val="24"/>
      <w:lang w:val="ca-ES"/>
    </w:rPr>
  </w:style>
  <w:style w:type="paragraph" w:styleId="Ttulo1">
    <w:name w:val="heading 1"/>
    <w:basedOn w:val="Normal"/>
    <w:next w:val="Normal"/>
    <w:link w:val="Ttulo1Car"/>
    <w:autoRedefine/>
    <w:uiPriority w:val="9"/>
    <w:qFormat/>
    <w:rsid w:val="00A344A3"/>
    <w:pPr>
      <w:outlineLvl w:val="0"/>
    </w:pPr>
    <w:rPr>
      <w:rFonts w:ascii="Cambria" w:hAnsi="Cambria"/>
      <w:b/>
      <w:bCs/>
      <w:sz w:val="28"/>
      <w:szCs w:val="28"/>
      <w:lang w:val="es-ES"/>
    </w:rPr>
  </w:style>
  <w:style w:type="paragraph" w:styleId="Ttulo2">
    <w:name w:val="heading 2"/>
    <w:basedOn w:val="Normal"/>
    <w:next w:val="Normal"/>
    <w:link w:val="Ttulo2Car"/>
    <w:autoRedefine/>
    <w:uiPriority w:val="9"/>
    <w:unhideWhenUsed/>
    <w:qFormat/>
    <w:rsid w:val="00A344A3"/>
    <w:pPr>
      <w:outlineLvl w:val="1"/>
    </w:pPr>
    <w:rPr>
      <w:rFonts w:ascii="Cambria" w:hAnsi="Cambria"/>
      <w:b/>
      <w:bCs/>
      <w:color w:val="156082" w:themeColor="accent1"/>
      <w:u w:val="single"/>
      <w:lang w:val="es-ES"/>
    </w:rPr>
  </w:style>
  <w:style w:type="paragraph" w:styleId="Ttulo3">
    <w:name w:val="heading 3"/>
    <w:basedOn w:val="Normal"/>
    <w:next w:val="Normal"/>
    <w:link w:val="Ttulo3Car"/>
    <w:uiPriority w:val="9"/>
    <w:semiHidden/>
    <w:unhideWhenUsed/>
    <w:qFormat/>
    <w:rsid w:val="00A02B6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2B6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A02B66"/>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A02B66"/>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A02B66"/>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A02B66"/>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A02B66"/>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4A3"/>
    <w:rPr>
      <w:rFonts w:ascii="Cambria" w:hAnsi="Cambria" w:cstheme="minorBidi"/>
      <w:b/>
      <w:bCs/>
      <w:sz w:val="28"/>
      <w:szCs w:val="28"/>
    </w:rPr>
  </w:style>
  <w:style w:type="character" w:customStyle="1" w:styleId="Ttulo2Car">
    <w:name w:val="Título 2 Car"/>
    <w:basedOn w:val="Fuentedeprrafopredeter"/>
    <w:link w:val="Ttulo2"/>
    <w:uiPriority w:val="9"/>
    <w:rsid w:val="00A344A3"/>
    <w:rPr>
      <w:rFonts w:ascii="Cambria" w:hAnsi="Cambria" w:cstheme="minorBidi"/>
      <w:b/>
      <w:bCs/>
      <w:color w:val="156082" w:themeColor="accent1"/>
      <w:sz w:val="24"/>
      <w:szCs w:val="24"/>
      <w:u w:val="single"/>
    </w:rPr>
  </w:style>
  <w:style w:type="character" w:customStyle="1" w:styleId="Ttulo3Car">
    <w:name w:val="Título 3 Car"/>
    <w:basedOn w:val="Fuentedeprrafopredeter"/>
    <w:link w:val="Ttulo3"/>
    <w:uiPriority w:val="9"/>
    <w:semiHidden/>
    <w:rsid w:val="00A02B66"/>
    <w:rPr>
      <w:rFonts w:asciiTheme="minorHAnsi" w:eastAsiaTheme="majorEastAsia" w:hAnsiTheme="minorHAnsi" w:cstheme="majorBidi"/>
      <w:color w:val="0F4761" w:themeColor="accent1" w:themeShade="BF"/>
      <w:sz w:val="28"/>
      <w:szCs w:val="28"/>
      <w:lang w:val="ca-ES"/>
    </w:rPr>
  </w:style>
  <w:style w:type="character" w:customStyle="1" w:styleId="Ttulo4Car">
    <w:name w:val="Título 4 Car"/>
    <w:basedOn w:val="Fuentedeprrafopredeter"/>
    <w:link w:val="Ttulo4"/>
    <w:uiPriority w:val="9"/>
    <w:semiHidden/>
    <w:rsid w:val="00A02B66"/>
    <w:rPr>
      <w:rFonts w:asciiTheme="minorHAnsi" w:eastAsiaTheme="majorEastAsia" w:hAnsiTheme="minorHAnsi" w:cstheme="majorBidi"/>
      <w:i/>
      <w:iCs/>
      <w:color w:val="0F4761" w:themeColor="accent1" w:themeShade="BF"/>
      <w:sz w:val="24"/>
      <w:szCs w:val="24"/>
      <w:lang w:val="ca-ES"/>
    </w:rPr>
  </w:style>
  <w:style w:type="character" w:customStyle="1" w:styleId="Ttulo5Car">
    <w:name w:val="Título 5 Car"/>
    <w:basedOn w:val="Fuentedeprrafopredeter"/>
    <w:link w:val="Ttulo5"/>
    <w:uiPriority w:val="9"/>
    <w:semiHidden/>
    <w:rsid w:val="00A02B66"/>
    <w:rPr>
      <w:rFonts w:asciiTheme="minorHAnsi" w:eastAsiaTheme="majorEastAsia" w:hAnsiTheme="minorHAnsi" w:cstheme="majorBidi"/>
      <w:color w:val="0F4761" w:themeColor="accent1" w:themeShade="BF"/>
      <w:sz w:val="24"/>
      <w:szCs w:val="24"/>
      <w:lang w:val="ca-ES"/>
    </w:rPr>
  </w:style>
  <w:style w:type="character" w:customStyle="1" w:styleId="Ttulo6Car">
    <w:name w:val="Título 6 Car"/>
    <w:basedOn w:val="Fuentedeprrafopredeter"/>
    <w:link w:val="Ttulo6"/>
    <w:uiPriority w:val="9"/>
    <w:semiHidden/>
    <w:rsid w:val="00A02B66"/>
    <w:rPr>
      <w:rFonts w:asciiTheme="minorHAnsi" w:eastAsiaTheme="majorEastAsia" w:hAnsiTheme="minorHAnsi" w:cstheme="majorBidi"/>
      <w:i/>
      <w:iCs/>
      <w:color w:val="595959" w:themeColor="text1" w:themeTint="A6"/>
      <w:sz w:val="24"/>
      <w:szCs w:val="24"/>
      <w:lang w:val="ca-ES"/>
    </w:rPr>
  </w:style>
  <w:style w:type="character" w:customStyle="1" w:styleId="Ttulo7Car">
    <w:name w:val="Título 7 Car"/>
    <w:basedOn w:val="Fuentedeprrafopredeter"/>
    <w:link w:val="Ttulo7"/>
    <w:uiPriority w:val="9"/>
    <w:semiHidden/>
    <w:rsid w:val="00A02B66"/>
    <w:rPr>
      <w:rFonts w:asciiTheme="minorHAnsi" w:eastAsiaTheme="majorEastAsia" w:hAnsiTheme="minorHAnsi" w:cstheme="majorBidi"/>
      <w:color w:val="595959" w:themeColor="text1" w:themeTint="A6"/>
      <w:sz w:val="24"/>
      <w:szCs w:val="24"/>
      <w:lang w:val="ca-ES"/>
    </w:rPr>
  </w:style>
  <w:style w:type="character" w:customStyle="1" w:styleId="Ttulo8Car">
    <w:name w:val="Título 8 Car"/>
    <w:basedOn w:val="Fuentedeprrafopredeter"/>
    <w:link w:val="Ttulo8"/>
    <w:uiPriority w:val="9"/>
    <w:semiHidden/>
    <w:rsid w:val="00A02B66"/>
    <w:rPr>
      <w:rFonts w:asciiTheme="minorHAnsi" w:eastAsiaTheme="majorEastAsia" w:hAnsiTheme="minorHAnsi" w:cstheme="majorBidi"/>
      <w:i/>
      <w:iCs/>
      <w:color w:val="272727" w:themeColor="text1" w:themeTint="D8"/>
      <w:sz w:val="24"/>
      <w:szCs w:val="24"/>
      <w:lang w:val="ca-ES"/>
    </w:rPr>
  </w:style>
  <w:style w:type="character" w:customStyle="1" w:styleId="Ttulo9Car">
    <w:name w:val="Título 9 Car"/>
    <w:basedOn w:val="Fuentedeprrafopredeter"/>
    <w:link w:val="Ttulo9"/>
    <w:uiPriority w:val="9"/>
    <w:semiHidden/>
    <w:rsid w:val="00A02B66"/>
    <w:rPr>
      <w:rFonts w:asciiTheme="minorHAnsi" w:eastAsiaTheme="majorEastAsia" w:hAnsiTheme="minorHAnsi" w:cstheme="majorBidi"/>
      <w:color w:val="272727" w:themeColor="text1" w:themeTint="D8"/>
      <w:sz w:val="24"/>
      <w:szCs w:val="24"/>
      <w:lang w:val="ca-ES"/>
    </w:rPr>
  </w:style>
  <w:style w:type="paragraph" w:styleId="Ttulo">
    <w:name w:val="Title"/>
    <w:basedOn w:val="Normal"/>
    <w:next w:val="Normal"/>
    <w:link w:val="TtuloCar"/>
    <w:uiPriority w:val="10"/>
    <w:qFormat/>
    <w:rsid w:val="00A02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2B66"/>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A02B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2B66"/>
    <w:rPr>
      <w:rFonts w:asciiTheme="minorHAnsi" w:eastAsiaTheme="majorEastAsia" w:hAnsiTheme="minorHAnsi"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A02B66"/>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02B66"/>
    <w:rPr>
      <w:rFonts w:cstheme="minorBidi"/>
      <w:i/>
      <w:iCs/>
      <w:color w:val="404040" w:themeColor="text1" w:themeTint="BF"/>
      <w:sz w:val="24"/>
      <w:szCs w:val="24"/>
      <w:lang w:val="ca-ES"/>
    </w:rPr>
  </w:style>
  <w:style w:type="paragraph" w:styleId="Prrafodelista">
    <w:name w:val="List Paragraph"/>
    <w:basedOn w:val="Normal"/>
    <w:uiPriority w:val="34"/>
    <w:qFormat/>
    <w:rsid w:val="00A02B66"/>
    <w:pPr>
      <w:ind w:left="720"/>
      <w:contextualSpacing/>
    </w:pPr>
  </w:style>
  <w:style w:type="character" w:styleId="nfasisintenso">
    <w:name w:val="Intense Emphasis"/>
    <w:basedOn w:val="Fuentedeprrafopredeter"/>
    <w:uiPriority w:val="21"/>
    <w:qFormat/>
    <w:rsid w:val="00A02B66"/>
    <w:rPr>
      <w:i/>
      <w:iCs/>
      <w:color w:val="0F4761" w:themeColor="accent1" w:themeShade="BF"/>
    </w:rPr>
  </w:style>
  <w:style w:type="paragraph" w:styleId="Citadestacada">
    <w:name w:val="Intense Quote"/>
    <w:basedOn w:val="Normal"/>
    <w:next w:val="Normal"/>
    <w:link w:val="CitadestacadaCar"/>
    <w:uiPriority w:val="30"/>
    <w:qFormat/>
    <w:rsid w:val="00A02B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2B66"/>
    <w:rPr>
      <w:rFonts w:cstheme="minorBidi"/>
      <w:i/>
      <w:iCs/>
      <w:color w:val="0F4761" w:themeColor="accent1" w:themeShade="BF"/>
      <w:sz w:val="24"/>
      <w:szCs w:val="24"/>
      <w:lang w:val="ca-ES"/>
    </w:rPr>
  </w:style>
  <w:style w:type="character" w:styleId="Referenciaintensa">
    <w:name w:val="Intense Reference"/>
    <w:basedOn w:val="Fuentedeprrafopredeter"/>
    <w:uiPriority w:val="32"/>
    <w:qFormat/>
    <w:rsid w:val="00A02B66"/>
    <w:rPr>
      <w:b/>
      <w:bCs/>
      <w:smallCaps/>
      <w:color w:val="0F4761" w:themeColor="accent1" w:themeShade="BF"/>
      <w:spacing w:val="5"/>
    </w:rPr>
  </w:style>
  <w:style w:type="paragraph" w:styleId="Encabezado">
    <w:name w:val="header"/>
    <w:basedOn w:val="Normal"/>
    <w:link w:val="EncabezadoCar"/>
    <w:uiPriority w:val="99"/>
    <w:unhideWhenUsed/>
    <w:rsid w:val="00A02B6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02B66"/>
    <w:rPr>
      <w:rFonts w:cstheme="minorBidi"/>
      <w:sz w:val="24"/>
      <w:szCs w:val="24"/>
      <w:lang w:val="ca-ES"/>
    </w:rPr>
  </w:style>
  <w:style w:type="paragraph" w:styleId="Piedepgina">
    <w:name w:val="footer"/>
    <w:basedOn w:val="Normal"/>
    <w:link w:val="PiedepginaCar"/>
    <w:uiPriority w:val="99"/>
    <w:unhideWhenUsed/>
    <w:rsid w:val="00A02B6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02B66"/>
    <w:rPr>
      <w:rFonts w:cstheme="minorBidi"/>
      <w:sz w:val="24"/>
      <w:szCs w:val="24"/>
      <w:lang w:val="ca-ES"/>
    </w:rPr>
  </w:style>
  <w:style w:type="character" w:styleId="Hipervnculo">
    <w:name w:val="Hyperlink"/>
    <w:basedOn w:val="Fuentedeprrafopredeter"/>
    <w:uiPriority w:val="99"/>
    <w:unhideWhenUsed/>
    <w:rsid w:val="00A02B66"/>
    <w:rPr>
      <w:color w:val="467886" w:themeColor="hyperlink"/>
      <w:u w:val="single"/>
    </w:rPr>
  </w:style>
  <w:style w:type="table" w:styleId="Tablaconcuadrcula">
    <w:name w:val="Table Grid"/>
    <w:basedOn w:val="Tablanormal"/>
    <w:uiPriority w:val="39"/>
    <w:rsid w:val="00A02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2B66"/>
    <w:pPr>
      <w:spacing w:before="100" w:beforeAutospacing="1" w:after="100" w:afterAutospacing="1" w:line="240" w:lineRule="auto"/>
      <w:jc w:val="left"/>
    </w:pPr>
    <w:rPr>
      <w:rFonts w:ascii="Times New Roman" w:eastAsia="Times New Roman" w:hAnsi="Times New Roman" w:cs="Times New Roman"/>
      <w:kern w:val="0"/>
      <w:lang w:val="es-ES" w:eastAsia="es-ES_tradnl"/>
      <w14:ligatures w14:val="none"/>
    </w:rPr>
  </w:style>
  <w:style w:type="character" w:styleId="Textoennegrita">
    <w:name w:val="Strong"/>
    <w:basedOn w:val="Fuentedeprrafopredeter"/>
    <w:uiPriority w:val="22"/>
    <w:qFormat/>
    <w:rsid w:val="00A02B66"/>
    <w:rPr>
      <w:b/>
      <w:bCs/>
    </w:rPr>
  </w:style>
  <w:style w:type="character" w:styleId="Mencinsinresolver">
    <w:name w:val="Unresolved Mention"/>
    <w:basedOn w:val="Fuentedeprrafopredeter"/>
    <w:uiPriority w:val="99"/>
    <w:semiHidden/>
    <w:unhideWhenUsed/>
    <w:rsid w:val="00A02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bitatge.gencat.cat/ca/ambits/preus-ingressos-i-zones/limit-preu-lloguer/preguntes-frequents-zmrt/index.html" TargetMode="External"/><Relationship Id="rId13" Type="http://schemas.openxmlformats.org/officeDocument/2006/relationships/hyperlink" Target="https://web.gencat.cat/ca/tramits/tramits-temes/Comunicacio-de-la-condicio-de-gran-tenidor-dhabitatge" TargetMode="External"/><Relationship Id="rId3" Type="http://schemas.openxmlformats.org/officeDocument/2006/relationships/settings" Target="settings.xml"/><Relationship Id="rId7" Type="http://schemas.openxmlformats.org/officeDocument/2006/relationships/hyperlink" Target="To%20determine%20whether%20a%20person%20or%20entity%20is%20considered%20a%20large%20property%20owner,%20residential-use%20properties%20owned%20either%20in%20full%20ownership%20or%20under%20a%20usufruct%20right%20are%20taken%20into%20account,%20in%20accordance%20with%20Law%2012/2023,%20of%2024%20May,%20on%20the%20right%20to%20housing,%20which%20expressly%20excludes%20garages%20and%20storage%20rooms.%20In%20Catalonia,%20complementary%20regional%20regulations%20also%20exclude%20protected%20housing%20(public%20or%20subsidised%20housing)." TargetMode="External"/><Relationship Id="rId12" Type="http://schemas.openxmlformats.org/officeDocument/2006/relationships/hyperlink" Target="https://serpavi.mivau.gob.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oe.es/diario_boe/txt.php?id=BOE-A-2024-20576" TargetMode="External"/><Relationship Id="rId4" Type="http://schemas.openxmlformats.org/officeDocument/2006/relationships/webSettings" Target="webSettings.xml"/><Relationship Id="rId9" Type="http://schemas.openxmlformats.org/officeDocument/2006/relationships/hyperlink" Target="https://www.boe.es/diario_boe/txt.php?id=BOE-A-2024-521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maluquerabogad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1542</Words>
  <Characters>8481</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Clusellas, Laia</dc:creator>
  <cp:keywords/>
  <dc:description/>
  <cp:lastModifiedBy>Clusellas, Laia</cp:lastModifiedBy>
  <cp:revision>1</cp:revision>
  <cp:lastPrinted>2025-12-30T10:26:00Z</cp:lastPrinted>
  <dcterms:created xsi:type="dcterms:W3CDTF">2025-12-30T10:15:00Z</dcterms:created>
  <dcterms:modified xsi:type="dcterms:W3CDTF">2025-12-30T10:49:00Z</dcterms:modified>
</cp:coreProperties>
</file>