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E478E0" w14:textId="77777777" w:rsidR="00CF4ACA" w:rsidRPr="00CF4ACA" w:rsidRDefault="00CF4ACA" w:rsidP="00CF4ACA">
      <w:pPr>
        <w:pBdr>
          <w:bottom w:val="single" w:sz="6" w:space="1" w:color="auto"/>
        </w:pBdr>
        <w:spacing w:line="276" w:lineRule="auto"/>
        <w:jc w:val="left"/>
        <w:rPr>
          <w:rFonts w:ascii="Times New Roman" w:hAnsi="Times New Roman" w:cs="Times New Roman"/>
          <w:b/>
          <w:bCs/>
          <w:sz w:val="36"/>
          <w:szCs w:val="36"/>
          <w:lang w:val="es-ES"/>
        </w:rPr>
      </w:pPr>
      <w:r w:rsidRPr="00CF4ACA">
        <w:rPr>
          <w:rFonts w:ascii="Times New Roman" w:hAnsi="Times New Roman" w:cs="Times New Roman"/>
          <w:b/>
          <w:bCs/>
          <w:sz w:val="36"/>
          <w:szCs w:val="36"/>
          <w:lang w:val="es-ES"/>
        </w:rPr>
        <w:t>Heredar un piso entre hermanos: ¿qué pasa si uno no quiere vender?</w:t>
      </w:r>
    </w:p>
    <w:p w14:paraId="66FE13B2" w14:textId="77777777" w:rsidR="004F6FB7" w:rsidRPr="00572843" w:rsidRDefault="004F6FB7" w:rsidP="00070B6A">
      <w:pPr>
        <w:spacing w:line="276" w:lineRule="auto"/>
        <w:rPr>
          <w:rFonts w:ascii="Times New Roman" w:hAnsi="Times New Roman" w:cs="Times New Roman"/>
          <w:sz w:val="22"/>
          <w:szCs w:val="22"/>
          <w:lang w:val="en-US"/>
        </w:rPr>
      </w:pPr>
    </w:p>
    <w:p w14:paraId="3C468A33"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b/>
          <w:bCs/>
          <w:sz w:val="22"/>
          <w:szCs w:val="22"/>
          <w:lang w:val="es-ES"/>
        </w:rPr>
        <w:t>Heredar un piso entre hermanos</w:t>
      </w:r>
      <w:r w:rsidRPr="00CF4ACA">
        <w:rPr>
          <w:rFonts w:ascii="Times New Roman" w:hAnsi="Times New Roman" w:cs="Times New Roman"/>
          <w:sz w:val="22"/>
          <w:szCs w:val="22"/>
          <w:lang w:val="es-ES"/>
        </w:rPr>
        <w:t> puede generar desacuerdos sobre qué hacer con la vivienda. Uno necesita vender, otro prefiere esperar y un tercero quiere conservarla por su valor sentimental. Cuando las posiciones se mantienen, la herencia puede convertirse en una fuente de conflictos y gastos.</w:t>
      </w:r>
    </w:p>
    <w:p w14:paraId="7930AE00" w14:textId="77777777" w:rsidR="00CF4ACA" w:rsidRPr="00CF4ACA" w:rsidRDefault="00CF4ACA" w:rsidP="00CF4ACA">
      <w:pPr>
        <w:spacing w:line="276" w:lineRule="auto"/>
        <w:rPr>
          <w:rFonts w:ascii="Times New Roman" w:hAnsi="Times New Roman" w:cs="Times New Roman"/>
          <w:sz w:val="22"/>
          <w:szCs w:val="22"/>
          <w:lang w:val="es-ES"/>
        </w:rPr>
      </w:pPr>
    </w:p>
    <w:p w14:paraId="5B903048"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La negativa de un hermano puede impedir una venta de común acuerdo, pero </w:t>
      </w:r>
      <w:r w:rsidRPr="00CF4ACA">
        <w:rPr>
          <w:rFonts w:ascii="Times New Roman" w:hAnsi="Times New Roman" w:cs="Times New Roman"/>
          <w:b/>
          <w:bCs/>
          <w:sz w:val="22"/>
          <w:szCs w:val="22"/>
          <w:lang w:val="es-ES"/>
        </w:rPr>
        <w:t>no significa que los demás deban permanecer indefinidamente en una propiedad compartida</w:t>
      </w:r>
      <w:r w:rsidRPr="00CF4ACA">
        <w:rPr>
          <w:rFonts w:ascii="Times New Roman" w:hAnsi="Times New Roman" w:cs="Times New Roman"/>
          <w:sz w:val="22"/>
          <w:szCs w:val="22"/>
          <w:lang w:val="es-ES"/>
        </w:rPr>
        <w:t>. Existen vías para resolver la situación, y vender a un tercero no es la única alternativa.</w:t>
      </w:r>
    </w:p>
    <w:p w14:paraId="459924C7" w14:textId="77777777" w:rsidR="00CF4ACA" w:rsidRPr="00CF4ACA" w:rsidRDefault="00CF4ACA" w:rsidP="00CF4ACA">
      <w:pPr>
        <w:spacing w:line="276" w:lineRule="auto"/>
        <w:rPr>
          <w:rFonts w:ascii="Times New Roman" w:hAnsi="Times New Roman" w:cs="Times New Roman"/>
          <w:sz w:val="22"/>
          <w:szCs w:val="22"/>
          <w:lang w:val="es-ES"/>
        </w:rPr>
      </w:pPr>
    </w:p>
    <w:p w14:paraId="1F24D258" w14:textId="77777777" w:rsidR="00CF4ACA" w:rsidRDefault="00CF4ACA" w:rsidP="00CF4ACA">
      <w:pPr>
        <w:spacing w:line="276" w:lineRule="auto"/>
        <w:rPr>
          <w:rFonts w:ascii="Times New Roman" w:hAnsi="Times New Roman" w:cs="Times New Roman"/>
          <w:sz w:val="22"/>
          <w:szCs w:val="22"/>
          <w:lang w:val="en-US"/>
        </w:rPr>
      </w:pPr>
      <w:r w:rsidRPr="00CF4ACA">
        <w:rPr>
          <w:rFonts w:ascii="Times New Roman" w:hAnsi="Times New Roman" w:cs="Times New Roman"/>
          <w:sz w:val="22"/>
          <w:szCs w:val="22"/>
          <w:lang w:val="es-ES"/>
        </w:rPr>
        <w:t>Para entender qué opciones hay, conviene distinguir si la herencia está pendiente de repartir o si el piso ya se ha adjudicado a los hermanos. A continuación, explicamos las reglas del Código Civil de Cataluña, cuya aplicación debe comprobarse en cada caso</w:t>
      </w:r>
      <w:r>
        <w:rPr>
          <w:rFonts w:ascii="Times New Roman" w:hAnsi="Times New Roman" w:cs="Times New Roman"/>
          <w:sz w:val="22"/>
          <w:szCs w:val="22"/>
          <w:lang w:val="es-ES"/>
        </w:rPr>
        <w:t>.</w:t>
      </w:r>
      <w:r>
        <w:rPr>
          <w:rFonts w:ascii="Times New Roman" w:hAnsi="Times New Roman" w:cs="Times New Roman"/>
          <w:sz w:val="22"/>
          <w:szCs w:val="22"/>
          <w:lang w:val="en-US"/>
        </w:rPr>
        <w:t xml:space="preserve"> </w:t>
      </w:r>
    </w:p>
    <w:p w14:paraId="62A62A98" w14:textId="77777777" w:rsidR="00CF4ACA" w:rsidRPr="00CF4ACA" w:rsidRDefault="00CF4ACA" w:rsidP="00CF4ACA">
      <w:pPr>
        <w:spacing w:line="276" w:lineRule="auto"/>
        <w:rPr>
          <w:rFonts w:ascii="Times New Roman" w:hAnsi="Times New Roman" w:cs="Times New Roman"/>
          <w:sz w:val="22"/>
          <w:szCs w:val="22"/>
          <w:lang w:val="es-ES"/>
        </w:rPr>
      </w:pPr>
    </w:p>
    <w:p w14:paraId="1BBD0501" w14:textId="77777777" w:rsidR="00CF4ACA" w:rsidRPr="00CF4ACA" w:rsidRDefault="00CF4ACA" w:rsidP="00CF4ACA">
      <w:pPr>
        <w:spacing w:line="276" w:lineRule="auto"/>
        <w:rPr>
          <w:rFonts w:ascii="Times New Roman" w:hAnsi="Times New Roman" w:cs="Times New Roman"/>
          <w:b/>
          <w:bCs/>
          <w:color w:val="156082" w:themeColor="accent1"/>
          <w:sz w:val="22"/>
          <w:szCs w:val="22"/>
          <w:lang w:val="es-ES"/>
        </w:rPr>
      </w:pPr>
      <w:r w:rsidRPr="00CF4ACA">
        <w:rPr>
          <w:rFonts w:ascii="Times New Roman" w:hAnsi="Times New Roman" w:cs="Times New Roman"/>
          <w:b/>
          <w:bCs/>
          <w:color w:val="156082" w:themeColor="accent1"/>
          <w:sz w:val="22"/>
          <w:szCs w:val="22"/>
          <w:lang w:val="es-ES"/>
        </w:rPr>
        <w:t>EL PRIMER PASO: COMPROBAR CÓMO SE HA REPARTIDO LA HERENCIA</w:t>
      </w:r>
    </w:p>
    <w:p w14:paraId="3D75AD89"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Aceptar una herencia y repartir sus bienes son operaciones distintas. Mientras la herencia permanece sin dividir, los coherederos participan en el conjunto del patrimonio hereditario. No debe darse por supuesto que cada uno tiene ya una parte adjudicada de cada inmueble.</w:t>
      </w:r>
    </w:p>
    <w:p w14:paraId="668F471F" w14:textId="77777777" w:rsidR="00CF4ACA" w:rsidRPr="00CF4ACA" w:rsidRDefault="00CF4ACA" w:rsidP="00CF4ACA">
      <w:pPr>
        <w:spacing w:line="276" w:lineRule="auto"/>
        <w:rPr>
          <w:rFonts w:ascii="Times New Roman" w:hAnsi="Times New Roman" w:cs="Times New Roman"/>
          <w:sz w:val="22"/>
          <w:szCs w:val="22"/>
          <w:lang w:val="es-ES"/>
        </w:rPr>
      </w:pPr>
    </w:p>
    <w:p w14:paraId="21A84EC0"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La </w:t>
      </w:r>
      <w:r w:rsidRPr="00CF4ACA">
        <w:rPr>
          <w:rFonts w:ascii="Times New Roman" w:hAnsi="Times New Roman" w:cs="Times New Roman"/>
          <w:b/>
          <w:bCs/>
          <w:sz w:val="22"/>
          <w:szCs w:val="22"/>
          <w:lang w:val="es-ES"/>
        </w:rPr>
        <w:t>partición de la herencia</w:t>
      </w:r>
      <w:r w:rsidRPr="00CF4ACA">
        <w:rPr>
          <w:rFonts w:ascii="Times New Roman" w:hAnsi="Times New Roman" w:cs="Times New Roman"/>
          <w:sz w:val="22"/>
          <w:szCs w:val="22"/>
          <w:lang w:val="es-ES"/>
        </w:rPr>
        <w:t> permite concretar qué bienes o derechos recibe cada heredero. Los hermanos pueden acordar que uno se quede la vivienda y los demás reciban otros bienes o compensaciones, o adjudicarse el piso en porcentajes.</w:t>
      </w:r>
    </w:p>
    <w:p w14:paraId="50E1D119" w14:textId="77777777" w:rsidR="00CF4ACA" w:rsidRPr="00CF4ACA" w:rsidRDefault="00CF4ACA" w:rsidP="00CF4ACA">
      <w:pPr>
        <w:spacing w:line="276" w:lineRule="auto"/>
        <w:rPr>
          <w:rFonts w:ascii="Times New Roman" w:hAnsi="Times New Roman" w:cs="Times New Roman"/>
          <w:sz w:val="22"/>
          <w:szCs w:val="22"/>
          <w:lang w:val="es-ES"/>
        </w:rPr>
      </w:pPr>
    </w:p>
    <w:p w14:paraId="021F9283"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Si el piso ya se ha adjudicado a varios hermanos, existe una copropiedad: cada uno es titular de una cuota sobre la vivienda. Por eso, antes de plantear una solución, es necesario revisar el testamento, la escritura de aceptación y adjudicación —si existe— y la situación registral del inmueble.</w:t>
      </w:r>
    </w:p>
    <w:p w14:paraId="10446AAF" w14:textId="77777777" w:rsidR="00CF4ACA" w:rsidRPr="00CF4ACA" w:rsidRDefault="00CF4ACA" w:rsidP="00CF4ACA">
      <w:pPr>
        <w:spacing w:line="276" w:lineRule="auto"/>
        <w:rPr>
          <w:rFonts w:ascii="Times New Roman" w:hAnsi="Times New Roman" w:cs="Times New Roman"/>
          <w:sz w:val="22"/>
          <w:szCs w:val="22"/>
          <w:lang w:val="es-ES"/>
        </w:rPr>
      </w:pPr>
    </w:p>
    <w:p w14:paraId="2BBD6CCE"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Esta distinción se apoya en los </w:t>
      </w:r>
      <w:r w:rsidRPr="00CF4ACA">
        <w:rPr>
          <w:rFonts w:ascii="Times New Roman" w:hAnsi="Times New Roman" w:cs="Times New Roman"/>
          <w:b/>
          <w:bCs/>
          <w:sz w:val="22"/>
          <w:szCs w:val="22"/>
          <w:lang w:val="es-ES"/>
        </w:rPr>
        <w:t>artículos 463-1, 464-6 y 464-10 del Código Civil de Cataluña</w:t>
      </w:r>
      <w:r w:rsidRPr="00CF4ACA">
        <w:rPr>
          <w:rFonts w:ascii="Times New Roman" w:hAnsi="Times New Roman" w:cs="Times New Roman"/>
          <w:sz w:val="22"/>
          <w:szCs w:val="22"/>
          <w:lang w:val="es-ES"/>
        </w:rPr>
        <w:t>. </w:t>
      </w:r>
    </w:p>
    <w:p w14:paraId="1D03F248" w14:textId="77777777" w:rsidR="00CF4ACA" w:rsidRP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 xml:space="preserve"> </w:t>
      </w:r>
    </w:p>
    <w:p w14:paraId="3B7266A9" w14:textId="77777777" w:rsidR="00CF4ACA" w:rsidRPr="00CF4ACA" w:rsidRDefault="00CF4ACA" w:rsidP="00CF4ACA">
      <w:pPr>
        <w:spacing w:line="276" w:lineRule="auto"/>
        <w:rPr>
          <w:rFonts w:ascii="Times New Roman" w:hAnsi="Times New Roman" w:cs="Times New Roman"/>
          <w:b/>
          <w:bCs/>
          <w:color w:val="156082" w:themeColor="accent1"/>
          <w:sz w:val="22"/>
          <w:szCs w:val="22"/>
          <w:lang w:val="es-ES"/>
        </w:rPr>
      </w:pPr>
      <w:r w:rsidRPr="00CF4ACA">
        <w:rPr>
          <w:rFonts w:ascii="Times New Roman" w:hAnsi="Times New Roman" w:cs="Times New Roman"/>
          <w:b/>
          <w:bCs/>
          <w:color w:val="156082" w:themeColor="accent1"/>
          <w:sz w:val="22"/>
          <w:szCs w:val="22"/>
          <w:lang w:val="es-ES"/>
        </w:rPr>
        <w:t>LA VENTA DEL PISO COMPLETO REQUIERE EL ACUERDO DE TODOS</w:t>
      </w:r>
    </w:p>
    <w:p w14:paraId="2ED92535"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Para vender voluntariamente la totalidad de una vivienda compartida, </w:t>
      </w:r>
      <w:r w:rsidRPr="00CF4ACA">
        <w:rPr>
          <w:rFonts w:ascii="Times New Roman" w:hAnsi="Times New Roman" w:cs="Times New Roman"/>
          <w:b/>
          <w:bCs/>
          <w:sz w:val="22"/>
          <w:szCs w:val="22"/>
          <w:lang w:val="es-ES"/>
        </w:rPr>
        <w:t>no basta con que esté de acuerdo la mayoría de los hermanos</w:t>
      </w:r>
      <w:r w:rsidRPr="00CF4ACA">
        <w:rPr>
          <w:rFonts w:ascii="Times New Roman" w:hAnsi="Times New Roman" w:cs="Times New Roman"/>
          <w:sz w:val="22"/>
          <w:szCs w:val="22"/>
          <w:lang w:val="es-ES"/>
        </w:rPr>
        <w:t>. El artículo </w:t>
      </w:r>
      <w:r w:rsidRPr="00CF4ACA">
        <w:rPr>
          <w:rFonts w:ascii="Times New Roman" w:hAnsi="Times New Roman" w:cs="Times New Roman"/>
          <w:b/>
          <w:bCs/>
          <w:sz w:val="22"/>
          <w:szCs w:val="22"/>
          <w:lang w:val="es-ES"/>
        </w:rPr>
        <w:t>552-7.6 del Código Civil de Cataluña</w:t>
      </w:r>
      <w:r w:rsidRPr="00CF4ACA">
        <w:rPr>
          <w:rFonts w:ascii="Times New Roman" w:hAnsi="Times New Roman" w:cs="Times New Roman"/>
          <w:sz w:val="22"/>
          <w:szCs w:val="22"/>
          <w:lang w:val="es-ES"/>
        </w:rPr>
        <w:t> exige unanimidad para los actos de disposición. Si el inmueble todavía forma parte de una herencia sin repartir, el artículo </w:t>
      </w:r>
      <w:r w:rsidRPr="00CF4ACA">
        <w:rPr>
          <w:rFonts w:ascii="Times New Roman" w:hAnsi="Times New Roman" w:cs="Times New Roman"/>
          <w:b/>
          <w:bCs/>
          <w:sz w:val="22"/>
          <w:szCs w:val="22"/>
          <w:lang w:val="es-ES"/>
        </w:rPr>
        <w:t>463-5.1</w:t>
      </w:r>
      <w:r w:rsidRPr="00CF4ACA">
        <w:rPr>
          <w:rFonts w:ascii="Times New Roman" w:hAnsi="Times New Roman" w:cs="Times New Roman"/>
          <w:sz w:val="22"/>
          <w:szCs w:val="22"/>
          <w:lang w:val="es-ES"/>
        </w:rPr>
        <w:t> establece también esa exigencia.</w:t>
      </w:r>
    </w:p>
    <w:p w14:paraId="5B75247D" w14:textId="77777777" w:rsidR="00CF4ACA" w:rsidRPr="00CF4ACA" w:rsidRDefault="00CF4ACA" w:rsidP="00CF4ACA">
      <w:pPr>
        <w:spacing w:line="276" w:lineRule="auto"/>
        <w:rPr>
          <w:rFonts w:ascii="Times New Roman" w:hAnsi="Times New Roman" w:cs="Times New Roman"/>
          <w:sz w:val="22"/>
          <w:szCs w:val="22"/>
          <w:lang w:val="es-ES"/>
        </w:rPr>
      </w:pPr>
    </w:p>
    <w:p w14:paraId="3805BF21"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Por ejemplo, si tres hermanos son propietarios por partes iguales, dos de ellos no pueden vender el piso entero prescindiendo del tercero, aunque sus cuotas sumen más de la mitad.</w:t>
      </w:r>
    </w:p>
    <w:p w14:paraId="4F822828" w14:textId="77777777" w:rsidR="00CF4ACA" w:rsidRPr="00CF4ACA" w:rsidRDefault="00CF4ACA" w:rsidP="00CF4ACA">
      <w:pPr>
        <w:spacing w:line="276" w:lineRule="auto"/>
        <w:rPr>
          <w:rFonts w:ascii="Times New Roman" w:hAnsi="Times New Roman" w:cs="Times New Roman"/>
          <w:sz w:val="22"/>
          <w:szCs w:val="22"/>
          <w:lang w:val="es-ES"/>
        </w:rPr>
      </w:pPr>
    </w:p>
    <w:p w14:paraId="4F4B7832" w14:textId="77777777" w:rsidR="00CF4ACA" w:rsidRDefault="00CF4ACA" w:rsidP="00CF4ACA">
      <w:pPr>
        <w:spacing w:line="276" w:lineRule="auto"/>
        <w:rPr>
          <w:rFonts w:ascii="Times New Roman" w:hAnsi="Times New Roman" w:cs="Times New Roman"/>
          <w:sz w:val="22"/>
          <w:szCs w:val="22"/>
          <w:lang w:val="en-US"/>
        </w:rPr>
      </w:pPr>
      <w:r w:rsidRPr="00CF4ACA">
        <w:rPr>
          <w:rFonts w:ascii="Times New Roman" w:hAnsi="Times New Roman" w:cs="Times New Roman"/>
          <w:sz w:val="22"/>
          <w:szCs w:val="22"/>
          <w:lang w:val="es-ES"/>
        </w:rPr>
        <w:t>Ahora bien, rechazar una oferta concreta y oponerse a cualquier solución son situaciones diferentes. El desacuerdo sobre el precio puede abordarse con una valoración independiente; cuando el problema es que uno quiere mantener la propiedad y los demás desean salir de ella, habrá que estudiar otras alternativas. </w:t>
      </w:r>
      <w:r>
        <w:rPr>
          <w:rFonts w:ascii="Times New Roman" w:hAnsi="Times New Roman" w:cs="Times New Roman"/>
          <w:sz w:val="22"/>
          <w:szCs w:val="22"/>
          <w:lang w:val="en-US"/>
        </w:rPr>
        <w:t xml:space="preserve"> </w:t>
      </w:r>
    </w:p>
    <w:p w14:paraId="1D4F050F" w14:textId="77777777" w:rsidR="00CF4ACA" w:rsidRPr="00CF4ACA" w:rsidRDefault="00CF4ACA" w:rsidP="00CF4ACA">
      <w:pPr>
        <w:spacing w:line="276" w:lineRule="auto"/>
        <w:rPr>
          <w:rFonts w:ascii="Times New Roman" w:hAnsi="Times New Roman" w:cs="Times New Roman"/>
          <w:sz w:val="22"/>
          <w:szCs w:val="22"/>
          <w:lang w:val="es-ES"/>
        </w:rPr>
      </w:pPr>
    </w:p>
    <w:p w14:paraId="7B81E3B1" w14:textId="77777777" w:rsidR="00CF4ACA" w:rsidRPr="00CF4ACA" w:rsidRDefault="00CF4ACA" w:rsidP="00CF4ACA">
      <w:pPr>
        <w:spacing w:line="276" w:lineRule="auto"/>
        <w:rPr>
          <w:rFonts w:ascii="Times New Roman" w:hAnsi="Times New Roman" w:cs="Times New Roman"/>
          <w:b/>
          <w:bCs/>
          <w:color w:val="156082" w:themeColor="accent1"/>
          <w:sz w:val="22"/>
          <w:szCs w:val="22"/>
          <w:lang w:val="es-ES"/>
        </w:rPr>
      </w:pPr>
      <w:r w:rsidRPr="00CF4ACA">
        <w:rPr>
          <w:rFonts w:ascii="Times New Roman" w:hAnsi="Times New Roman" w:cs="Times New Roman"/>
          <w:b/>
          <w:bCs/>
          <w:color w:val="156082" w:themeColor="accent1"/>
          <w:sz w:val="22"/>
          <w:szCs w:val="22"/>
          <w:lang w:val="es-ES"/>
        </w:rPr>
        <w:lastRenderedPageBreak/>
        <w:t>UN HERMANO PUEDE QUEDARSE EL PISO Y COMPENSAR A LOS DEMÁS</w:t>
      </w:r>
    </w:p>
    <w:p w14:paraId="4108F5F0"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Cuando uno quiere conservar la vivienda, una opción es adjudicársela íntegramente y compensar económicamente a los otros. Si la herencia aún no se ha repartido, también puede estudiarse un reparto con otros bienes hereditarios.</w:t>
      </w:r>
    </w:p>
    <w:p w14:paraId="0FCFBCC0" w14:textId="77777777" w:rsidR="00CF4ACA" w:rsidRPr="00CF4ACA" w:rsidRDefault="00CF4ACA" w:rsidP="00CF4ACA">
      <w:pPr>
        <w:spacing w:line="276" w:lineRule="auto"/>
        <w:rPr>
          <w:rFonts w:ascii="Times New Roman" w:hAnsi="Times New Roman" w:cs="Times New Roman"/>
          <w:sz w:val="22"/>
          <w:szCs w:val="22"/>
          <w:lang w:val="es-ES"/>
        </w:rPr>
      </w:pPr>
    </w:p>
    <w:p w14:paraId="2F88CCF2"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El acuerdo debería concretar el valor del inmueble, la cantidad que recibirá cada hermano, la forma de pago y el momento de formalización. Además, conviene comprobar que quien se queda el piso dispone de financiación suficiente y revisar los gastos y consecuencias fiscales de la operación.</w:t>
      </w:r>
    </w:p>
    <w:p w14:paraId="2E2B266C" w14:textId="77777777" w:rsidR="00CF4ACA" w:rsidRPr="00CF4ACA" w:rsidRDefault="00CF4ACA" w:rsidP="00CF4ACA">
      <w:pPr>
        <w:spacing w:line="276" w:lineRule="auto"/>
        <w:rPr>
          <w:rFonts w:ascii="Times New Roman" w:hAnsi="Times New Roman" w:cs="Times New Roman"/>
          <w:sz w:val="22"/>
          <w:szCs w:val="22"/>
          <w:lang w:val="es-ES"/>
        </w:rPr>
      </w:pPr>
    </w:p>
    <w:p w14:paraId="486DD427" w14:textId="77777777" w:rsidR="00CF4ACA" w:rsidRPr="00CF4ACA" w:rsidRDefault="00CF4ACA" w:rsidP="00CF4ACA">
      <w:pPr>
        <w:spacing w:line="276" w:lineRule="auto"/>
        <w:ind w:left="708"/>
        <w:rPr>
          <w:rFonts w:ascii="Times New Roman" w:hAnsi="Times New Roman" w:cs="Times New Roman"/>
          <w:i/>
          <w:iCs/>
          <w:sz w:val="22"/>
          <w:szCs w:val="22"/>
          <w:lang w:val="es-ES"/>
        </w:rPr>
      </w:pPr>
      <w:r w:rsidRPr="00CF4ACA">
        <w:rPr>
          <w:rFonts w:ascii="Times New Roman" w:hAnsi="Times New Roman" w:cs="Times New Roman"/>
          <w:b/>
          <w:bCs/>
          <w:i/>
          <w:iCs/>
          <w:sz w:val="22"/>
          <w:szCs w:val="22"/>
          <w:lang w:val="es-ES"/>
        </w:rPr>
        <w:t>Ejemplo orientativo:</w:t>
      </w:r>
      <w:r w:rsidRPr="00CF4ACA">
        <w:rPr>
          <w:rFonts w:ascii="Times New Roman" w:hAnsi="Times New Roman" w:cs="Times New Roman"/>
          <w:i/>
          <w:iCs/>
          <w:sz w:val="22"/>
          <w:szCs w:val="22"/>
          <w:lang w:val="es-ES"/>
        </w:rPr>
        <w:t> tres hermanos tienen un tercio de una vivienda sin cargas que, de común acuerdo, valoran en 300.000 euros. Si uno se la adjudica íntegramente, la compensación correspondiente a los otros sería de 100.000 euros para cada uno, sin incluir los gastos e impuestos que procedan.</w:t>
      </w:r>
    </w:p>
    <w:p w14:paraId="3870AA9E" w14:textId="77777777" w:rsidR="00CF4ACA" w:rsidRPr="00CF4ACA" w:rsidRDefault="00CF4ACA" w:rsidP="00CF4ACA">
      <w:pPr>
        <w:spacing w:line="276" w:lineRule="auto"/>
        <w:rPr>
          <w:rFonts w:ascii="Times New Roman" w:hAnsi="Times New Roman" w:cs="Times New Roman"/>
          <w:sz w:val="22"/>
          <w:szCs w:val="22"/>
          <w:lang w:val="es-ES"/>
        </w:rPr>
      </w:pPr>
    </w:p>
    <w:p w14:paraId="554E500E"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En Cataluña, el artículo </w:t>
      </w:r>
      <w:r w:rsidRPr="00CF4ACA">
        <w:rPr>
          <w:rFonts w:ascii="Times New Roman" w:hAnsi="Times New Roman" w:cs="Times New Roman"/>
          <w:b/>
          <w:bCs/>
          <w:sz w:val="22"/>
          <w:szCs w:val="22"/>
          <w:lang w:val="es-ES"/>
        </w:rPr>
        <w:t>552-11.5</w:t>
      </w:r>
      <w:r w:rsidRPr="00CF4ACA">
        <w:rPr>
          <w:rFonts w:ascii="Times New Roman" w:hAnsi="Times New Roman" w:cs="Times New Roman"/>
          <w:sz w:val="22"/>
          <w:szCs w:val="22"/>
          <w:lang w:val="es-ES"/>
        </w:rPr>
        <w:t> contempla la adjudicación de un bien indivisible al cotitular interesado, con obligación de pagar a los demás el valor pericial de sus participaciones. El artículo </w:t>
      </w:r>
      <w:r w:rsidRPr="00CF4ACA">
        <w:rPr>
          <w:rFonts w:ascii="Times New Roman" w:hAnsi="Times New Roman" w:cs="Times New Roman"/>
          <w:b/>
          <w:bCs/>
          <w:sz w:val="22"/>
          <w:szCs w:val="22"/>
          <w:lang w:val="es-ES"/>
        </w:rPr>
        <w:t>464-8.2</w:t>
      </w:r>
      <w:r w:rsidRPr="00CF4ACA">
        <w:rPr>
          <w:rFonts w:ascii="Times New Roman" w:hAnsi="Times New Roman" w:cs="Times New Roman"/>
          <w:sz w:val="22"/>
          <w:szCs w:val="22"/>
          <w:lang w:val="es-ES"/>
        </w:rPr>
        <w:t> remite a estas reglas para los bienes indivisibles en la partición hereditaria, salvo voluntad contraria del fallecido o acuerdo unánime de los coherederos. </w:t>
      </w:r>
    </w:p>
    <w:p w14:paraId="38620F10" w14:textId="77777777" w:rsidR="00CF4ACA" w:rsidRP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 xml:space="preserve"> </w:t>
      </w:r>
    </w:p>
    <w:p w14:paraId="24E8BAD2" w14:textId="77777777" w:rsidR="00CF4ACA" w:rsidRPr="00CF4ACA" w:rsidRDefault="00CF4ACA" w:rsidP="00CF4ACA">
      <w:pPr>
        <w:spacing w:line="276" w:lineRule="auto"/>
        <w:rPr>
          <w:rFonts w:ascii="Times New Roman" w:hAnsi="Times New Roman" w:cs="Times New Roman"/>
          <w:b/>
          <w:bCs/>
          <w:color w:val="156082" w:themeColor="accent1"/>
          <w:sz w:val="22"/>
          <w:szCs w:val="22"/>
          <w:lang w:val="es-ES"/>
        </w:rPr>
      </w:pPr>
      <w:r w:rsidRPr="00CF4ACA">
        <w:rPr>
          <w:rFonts w:ascii="Times New Roman" w:hAnsi="Times New Roman" w:cs="Times New Roman"/>
          <w:b/>
          <w:bCs/>
          <w:color w:val="156082" w:themeColor="accent1"/>
          <w:sz w:val="22"/>
          <w:szCs w:val="22"/>
          <w:lang w:val="es-ES"/>
        </w:rPr>
        <w:t>CUANDO NO HAY ACUERDO: SOLICITAR LA PARTICIÓN O LA DIVISIÓN</w:t>
      </w:r>
    </w:p>
    <w:p w14:paraId="0F53D43F"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Si la negociación no permite resolver el conflicto, la vía adecuada depende de la situación de la herencia.</w:t>
      </w:r>
    </w:p>
    <w:p w14:paraId="1E023314" w14:textId="77777777" w:rsidR="00CF4ACA" w:rsidRPr="00CF4ACA" w:rsidRDefault="00CF4ACA" w:rsidP="00CF4ACA">
      <w:pPr>
        <w:spacing w:line="276" w:lineRule="auto"/>
        <w:rPr>
          <w:rFonts w:ascii="Times New Roman" w:hAnsi="Times New Roman" w:cs="Times New Roman"/>
          <w:sz w:val="22"/>
          <w:szCs w:val="22"/>
          <w:lang w:val="es-ES"/>
        </w:rPr>
      </w:pPr>
    </w:p>
    <w:p w14:paraId="556E56F6"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b/>
          <w:bCs/>
          <w:sz w:val="22"/>
          <w:szCs w:val="22"/>
          <w:lang w:val="es-ES"/>
        </w:rPr>
        <w:t>Si está pendiente de repartir</w:t>
      </w:r>
      <w:r w:rsidRPr="00CF4ACA">
        <w:rPr>
          <w:rFonts w:ascii="Times New Roman" w:hAnsi="Times New Roman" w:cs="Times New Roman"/>
          <w:sz w:val="22"/>
          <w:szCs w:val="22"/>
          <w:lang w:val="es-ES"/>
        </w:rPr>
        <w:t>, el artículo </w:t>
      </w:r>
      <w:r w:rsidRPr="00CF4ACA">
        <w:rPr>
          <w:rFonts w:ascii="Times New Roman" w:hAnsi="Times New Roman" w:cs="Times New Roman"/>
          <w:b/>
          <w:bCs/>
          <w:sz w:val="22"/>
          <w:szCs w:val="22"/>
          <w:lang w:val="es-ES"/>
        </w:rPr>
        <w:t>464-1</w:t>
      </w:r>
      <w:r w:rsidRPr="00CF4ACA">
        <w:rPr>
          <w:rFonts w:ascii="Times New Roman" w:hAnsi="Times New Roman" w:cs="Times New Roman"/>
          <w:sz w:val="22"/>
          <w:szCs w:val="22"/>
          <w:lang w:val="es-ES"/>
        </w:rPr>
        <w:t> reconoce a cada coheredero el derecho a solicitar la partición, con las excepciones legalmente previstas. Si no se alcanza un acuerdo ni procede realizarla de otra forma, el artículo </w:t>
      </w:r>
      <w:r w:rsidRPr="00CF4ACA">
        <w:rPr>
          <w:rFonts w:ascii="Times New Roman" w:hAnsi="Times New Roman" w:cs="Times New Roman"/>
          <w:b/>
          <w:bCs/>
          <w:sz w:val="22"/>
          <w:szCs w:val="22"/>
          <w:lang w:val="es-ES"/>
        </w:rPr>
        <w:t>464-7.2</w:t>
      </w:r>
      <w:r w:rsidRPr="00CF4ACA">
        <w:rPr>
          <w:rFonts w:ascii="Times New Roman" w:hAnsi="Times New Roman" w:cs="Times New Roman"/>
          <w:sz w:val="22"/>
          <w:szCs w:val="22"/>
          <w:lang w:val="es-ES"/>
        </w:rPr>
        <w:t>permite instar la partición judicial. </w:t>
      </w:r>
    </w:p>
    <w:p w14:paraId="050B0D43" w14:textId="77777777" w:rsidR="00CF4ACA" w:rsidRP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 xml:space="preserve"> </w:t>
      </w:r>
    </w:p>
    <w:p w14:paraId="14087A6A"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b/>
          <w:bCs/>
          <w:sz w:val="22"/>
          <w:szCs w:val="22"/>
          <w:lang w:val="es-ES"/>
        </w:rPr>
        <w:t>Si el piso ya pertenece a los hermanos en copropiedad</w:t>
      </w:r>
      <w:r w:rsidRPr="00CF4ACA">
        <w:rPr>
          <w:rFonts w:ascii="Times New Roman" w:hAnsi="Times New Roman" w:cs="Times New Roman"/>
          <w:sz w:val="22"/>
          <w:szCs w:val="22"/>
          <w:lang w:val="es-ES"/>
        </w:rPr>
        <w:t>, los artículos </w:t>
      </w:r>
      <w:r w:rsidRPr="00CF4ACA">
        <w:rPr>
          <w:rFonts w:ascii="Times New Roman" w:hAnsi="Times New Roman" w:cs="Times New Roman"/>
          <w:b/>
          <w:bCs/>
          <w:sz w:val="22"/>
          <w:szCs w:val="22"/>
          <w:lang w:val="es-ES"/>
        </w:rPr>
        <w:t>552-10 y 552-11</w:t>
      </w:r>
      <w:r w:rsidRPr="00CF4ACA">
        <w:rPr>
          <w:rFonts w:ascii="Times New Roman" w:hAnsi="Times New Roman" w:cs="Times New Roman"/>
          <w:sz w:val="22"/>
          <w:szCs w:val="22"/>
          <w:lang w:val="es-ES"/>
        </w:rPr>
        <w:t> permiten solicitar la división de la cosa común. Esta expresión jurídica se refiere a poner fin a la propiedad compartida; no significa necesariamente dividir físicamente la vivienda. Hay que comprobar si existen límites aplicables, como un pacto válido de indivisión. </w:t>
      </w:r>
    </w:p>
    <w:p w14:paraId="244CFB64" w14:textId="77777777" w:rsidR="00CF4ACA" w:rsidRPr="00CF4ACA" w:rsidRDefault="00CF4ACA" w:rsidP="00CF4ACA">
      <w:pPr>
        <w:spacing w:line="276" w:lineRule="auto"/>
        <w:rPr>
          <w:rFonts w:ascii="Times New Roman" w:hAnsi="Times New Roman" w:cs="Times New Roman"/>
          <w:sz w:val="22"/>
          <w:szCs w:val="22"/>
          <w:lang w:val="en-US"/>
        </w:rPr>
      </w:pPr>
      <w:r w:rsidRPr="00CF4ACA">
        <w:rPr>
          <w:rFonts w:ascii="Times New Roman" w:hAnsi="Times New Roman" w:cs="Times New Roman"/>
          <w:sz w:val="22"/>
          <w:szCs w:val="22"/>
          <w:lang w:val="en-US"/>
        </w:rPr>
        <w:t xml:space="preserve"> </w:t>
      </w:r>
    </w:p>
    <w:p w14:paraId="3854FEB9"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Antes de presentar una demanda, también debe atenderse al requisito de negociación previa. El </w:t>
      </w:r>
      <w:r w:rsidRPr="00CF4ACA">
        <w:rPr>
          <w:rFonts w:ascii="Times New Roman" w:hAnsi="Times New Roman" w:cs="Times New Roman"/>
          <w:b/>
          <w:bCs/>
          <w:sz w:val="22"/>
          <w:szCs w:val="22"/>
          <w:lang w:val="es-ES"/>
        </w:rPr>
        <w:t>artículo 5 de la Ley Orgánica 1/2025</w:t>
      </w:r>
      <w:r w:rsidRPr="00CF4ACA">
        <w:rPr>
          <w:rFonts w:ascii="Times New Roman" w:hAnsi="Times New Roman" w:cs="Times New Roman"/>
          <w:sz w:val="22"/>
          <w:szCs w:val="22"/>
          <w:lang w:val="es-ES"/>
        </w:rPr>
        <w:t> exige, con carácter general en los procesos civiles afectados, acudir a un medio adecuado de solución de controversias. Puede tratarse, por ejemplo, de una negociación entre las partes o sus abogados, o de una mediación, cumpliendo los requisitos legales.</w:t>
      </w:r>
    </w:p>
    <w:p w14:paraId="2FBCDF6B" w14:textId="77777777" w:rsidR="00CF4ACA" w:rsidRPr="00CF4ACA" w:rsidRDefault="00CF4ACA" w:rsidP="00CF4ACA">
      <w:pPr>
        <w:spacing w:line="276" w:lineRule="auto"/>
        <w:rPr>
          <w:rFonts w:ascii="Times New Roman" w:hAnsi="Times New Roman" w:cs="Times New Roman"/>
          <w:sz w:val="22"/>
          <w:szCs w:val="22"/>
          <w:lang w:val="es-ES"/>
        </w:rPr>
      </w:pPr>
    </w:p>
    <w:p w14:paraId="7BD3C809"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Esto obliga a intentar y acreditar la negociación cuando corresponda, </w:t>
      </w:r>
      <w:r w:rsidRPr="00CF4ACA">
        <w:rPr>
          <w:rFonts w:ascii="Times New Roman" w:hAnsi="Times New Roman" w:cs="Times New Roman"/>
          <w:b/>
          <w:bCs/>
          <w:sz w:val="22"/>
          <w:szCs w:val="22"/>
          <w:lang w:val="es-ES"/>
        </w:rPr>
        <w:t>pero no obliga a aceptar un acuerdo</w:t>
      </w:r>
      <w:r w:rsidRPr="00CF4ACA">
        <w:rPr>
          <w:rFonts w:ascii="Times New Roman" w:hAnsi="Times New Roman" w:cs="Times New Roman"/>
          <w:sz w:val="22"/>
          <w:szCs w:val="22"/>
          <w:lang w:val="es-ES"/>
        </w:rPr>
        <w:t>. Por eso conviene preparar correctamente este paso desde el inicio. </w:t>
      </w:r>
    </w:p>
    <w:p w14:paraId="06ADFC02" w14:textId="77777777" w:rsidR="00CF4ACA" w:rsidRP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 xml:space="preserve"> </w:t>
      </w:r>
    </w:p>
    <w:p w14:paraId="5BA97A38" w14:textId="77777777" w:rsidR="00CF4ACA" w:rsidRPr="00CF4ACA" w:rsidRDefault="00CF4ACA" w:rsidP="00CF4ACA">
      <w:pPr>
        <w:spacing w:line="276" w:lineRule="auto"/>
        <w:rPr>
          <w:rFonts w:ascii="Times New Roman" w:hAnsi="Times New Roman" w:cs="Times New Roman"/>
          <w:b/>
          <w:bCs/>
          <w:color w:val="156082" w:themeColor="accent1"/>
          <w:sz w:val="22"/>
          <w:szCs w:val="22"/>
          <w:lang w:val="es-ES"/>
        </w:rPr>
      </w:pPr>
      <w:r w:rsidRPr="00CF4ACA">
        <w:rPr>
          <w:rFonts w:ascii="Times New Roman" w:hAnsi="Times New Roman" w:cs="Times New Roman"/>
          <w:b/>
          <w:bCs/>
          <w:color w:val="156082" w:themeColor="accent1"/>
          <w:sz w:val="22"/>
          <w:szCs w:val="22"/>
          <w:lang w:val="es-ES"/>
        </w:rPr>
        <w:t>EL DESACUERDO NO LLEVA AUTOMÁTICAMENTE A UNA SUBASTA</w:t>
      </w:r>
    </w:p>
    <w:p w14:paraId="0FC2979B" w14:textId="77777777" w:rsidR="00CF4ACA" w:rsidRP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En Cataluña, si la vivienda es indivisible o pierde notablemente su valor al dividirse, el artículo </w:t>
      </w:r>
      <w:r w:rsidRPr="00CF4ACA">
        <w:rPr>
          <w:rFonts w:ascii="Times New Roman" w:hAnsi="Times New Roman" w:cs="Times New Roman"/>
          <w:b/>
          <w:bCs/>
          <w:sz w:val="22"/>
          <w:szCs w:val="22"/>
          <w:lang w:val="es-ES"/>
        </w:rPr>
        <w:t>552-11.5</w:t>
      </w:r>
      <w:r w:rsidRPr="00CF4ACA">
        <w:rPr>
          <w:rFonts w:ascii="Times New Roman" w:hAnsi="Times New Roman" w:cs="Times New Roman"/>
          <w:sz w:val="22"/>
          <w:szCs w:val="22"/>
          <w:lang w:val="es-ES"/>
        </w:rPr>
        <w:t> establece reglas específicas:</w:t>
      </w:r>
    </w:p>
    <w:p w14:paraId="373EBFF2" w14:textId="77777777" w:rsidR="00CF4ACA" w:rsidRPr="00CF4ACA" w:rsidRDefault="00CF4ACA" w:rsidP="00CF4ACA">
      <w:pPr>
        <w:numPr>
          <w:ilvl w:val="0"/>
          <w:numId w:val="15"/>
        </w:num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Si un cotitular quiere adjudicársela, debe compensar a los demás.</w:t>
      </w:r>
    </w:p>
    <w:p w14:paraId="7D5667F3" w14:textId="77777777" w:rsidR="00CF4ACA" w:rsidRPr="00CF4ACA" w:rsidRDefault="00CF4ACA" w:rsidP="00CF4ACA">
      <w:pPr>
        <w:numPr>
          <w:ilvl w:val="0"/>
          <w:numId w:val="15"/>
        </w:num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Si hay varios interesados, tiene preferencia quien posea una participación mayor.</w:t>
      </w:r>
    </w:p>
    <w:p w14:paraId="76DEC897" w14:textId="77777777" w:rsidR="00CF4ACA" w:rsidRPr="00CF4ACA" w:rsidRDefault="00CF4ACA" w:rsidP="00CF4ACA">
      <w:pPr>
        <w:numPr>
          <w:ilvl w:val="0"/>
          <w:numId w:val="15"/>
        </w:num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lastRenderedPageBreak/>
        <w:t>Si coinciden el interés y la participación, decide la suerte.</w:t>
      </w:r>
    </w:p>
    <w:p w14:paraId="5BC237AC" w14:textId="77777777" w:rsidR="00CF4ACA" w:rsidRDefault="00CF4ACA" w:rsidP="00CF4ACA">
      <w:pPr>
        <w:numPr>
          <w:ilvl w:val="0"/>
          <w:numId w:val="15"/>
        </w:num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Si ningún cotitular está interesado en adjudicársela, se vende y se reparte el precio.</w:t>
      </w:r>
    </w:p>
    <w:p w14:paraId="44DEB433" w14:textId="77777777" w:rsidR="00CF4ACA" w:rsidRPr="00CF4ACA" w:rsidRDefault="00CF4ACA" w:rsidP="00CF4ACA">
      <w:pPr>
        <w:spacing w:line="276" w:lineRule="auto"/>
        <w:rPr>
          <w:rFonts w:ascii="Times New Roman" w:hAnsi="Times New Roman" w:cs="Times New Roman"/>
          <w:sz w:val="22"/>
          <w:szCs w:val="22"/>
          <w:lang w:val="es-ES"/>
        </w:rPr>
      </w:pPr>
    </w:p>
    <w:p w14:paraId="2EB3E5E4"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Por tanto, </w:t>
      </w:r>
      <w:r w:rsidRPr="00CF4ACA">
        <w:rPr>
          <w:rFonts w:ascii="Times New Roman" w:hAnsi="Times New Roman" w:cs="Times New Roman"/>
          <w:b/>
          <w:bCs/>
          <w:sz w:val="22"/>
          <w:szCs w:val="22"/>
          <w:lang w:val="es-ES"/>
        </w:rPr>
        <w:t>pedir la división no equivale a imponer una venta inmediata al comprador elegido por uno de los hermanos</w:t>
      </w:r>
      <w:r w:rsidRPr="00CF4ACA">
        <w:rPr>
          <w:rFonts w:ascii="Times New Roman" w:hAnsi="Times New Roman" w:cs="Times New Roman"/>
          <w:sz w:val="22"/>
          <w:szCs w:val="22"/>
          <w:lang w:val="es-ES"/>
        </w:rPr>
        <w:t>. La solución debe ajustarse a las reglas legales y a las circunstancias del inmueble. </w:t>
      </w:r>
    </w:p>
    <w:p w14:paraId="46871BBE" w14:textId="77777777" w:rsidR="00CF4ACA" w:rsidRP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 xml:space="preserve"> </w:t>
      </w:r>
    </w:p>
    <w:p w14:paraId="48401F8A" w14:textId="77777777" w:rsidR="00CF4ACA" w:rsidRPr="00CF4ACA" w:rsidRDefault="00CF4ACA" w:rsidP="00CF4ACA">
      <w:pPr>
        <w:spacing w:line="276" w:lineRule="auto"/>
        <w:rPr>
          <w:rFonts w:ascii="Times New Roman" w:hAnsi="Times New Roman" w:cs="Times New Roman"/>
          <w:b/>
          <w:bCs/>
          <w:color w:val="156082" w:themeColor="accent1"/>
          <w:sz w:val="22"/>
          <w:szCs w:val="22"/>
          <w:lang w:val="es-ES"/>
        </w:rPr>
      </w:pPr>
      <w:r w:rsidRPr="00CF4ACA">
        <w:rPr>
          <w:rFonts w:ascii="Times New Roman" w:hAnsi="Times New Roman" w:cs="Times New Roman"/>
          <w:b/>
          <w:bCs/>
          <w:color w:val="156082" w:themeColor="accent1"/>
          <w:sz w:val="22"/>
          <w:szCs w:val="22"/>
          <w:lang w:val="es-ES"/>
        </w:rPr>
        <w:t>PREPARAR UNA SOLUCIÓN ANTES DE QUE EL CONFLICTO SE AGRAVE</w:t>
      </w:r>
    </w:p>
    <w:p w14:paraId="5F06D0F7" w14:textId="77777777" w:rsidR="00CF4ACA" w:rsidRP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Antes de iniciar una reclamación, conviene reunir la documentación y formular una propuesta que los demás puedan valorar. Para ello, resulta útil:</w:t>
      </w:r>
    </w:p>
    <w:p w14:paraId="238B79C9" w14:textId="77777777" w:rsidR="00CF4ACA" w:rsidRPr="00CF4ACA" w:rsidRDefault="00CF4ACA" w:rsidP="00CF4ACA">
      <w:pPr>
        <w:numPr>
          <w:ilvl w:val="0"/>
          <w:numId w:val="16"/>
        </w:numPr>
        <w:spacing w:line="276" w:lineRule="auto"/>
        <w:rPr>
          <w:rFonts w:ascii="Times New Roman" w:hAnsi="Times New Roman" w:cs="Times New Roman"/>
          <w:sz w:val="22"/>
          <w:szCs w:val="22"/>
          <w:lang w:val="es-ES"/>
        </w:rPr>
      </w:pPr>
      <w:r w:rsidRPr="00CF4ACA">
        <w:rPr>
          <w:rFonts w:ascii="Times New Roman" w:hAnsi="Times New Roman" w:cs="Times New Roman"/>
          <w:b/>
          <w:bCs/>
          <w:sz w:val="22"/>
          <w:szCs w:val="22"/>
          <w:lang w:val="es-ES"/>
        </w:rPr>
        <w:t>Revisar la titularidad y las cargas:</w:t>
      </w:r>
      <w:r w:rsidRPr="00CF4ACA">
        <w:rPr>
          <w:rFonts w:ascii="Times New Roman" w:hAnsi="Times New Roman" w:cs="Times New Roman"/>
          <w:sz w:val="22"/>
          <w:szCs w:val="22"/>
          <w:lang w:val="es-ES"/>
        </w:rPr>
        <w:t> testamento, escritura de herencia, nota simple y posibles derechos de usufructo.</w:t>
      </w:r>
    </w:p>
    <w:p w14:paraId="38CBD6A2" w14:textId="77777777" w:rsidR="00CF4ACA" w:rsidRPr="00CF4ACA" w:rsidRDefault="00CF4ACA" w:rsidP="00CF4ACA">
      <w:pPr>
        <w:numPr>
          <w:ilvl w:val="0"/>
          <w:numId w:val="16"/>
        </w:numPr>
        <w:spacing w:line="276" w:lineRule="auto"/>
        <w:rPr>
          <w:rFonts w:ascii="Times New Roman" w:hAnsi="Times New Roman" w:cs="Times New Roman"/>
          <w:sz w:val="22"/>
          <w:szCs w:val="22"/>
          <w:lang w:val="es-ES"/>
        </w:rPr>
      </w:pPr>
      <w:r w:rsidRPr="00CF4ACA">
        <w:rPr>
          <w:rFonts w:ascii="Times New Roman" w:hAnsi="Times New Roman" w:cs="Times New Roman"/>
          <w:b/>
          <w:bCs/>
          <w:sz w:val="22"/>
          <w:szCs w:val="22"/>
          <w:lang w:val="es-ES"/>
        </w:rPr>
        <w:t>Obtener una valoración independiente:</w:t>
      </w:r>
      <w:r w:rsidRPr="00CF4ACA">
        <w:rPr>
          <w:rFonts w:ascii="Times New Roman" w:hAnsi="Times New Roman" w:cs="Times New Roman"/>
          <w:sz w:val="22"/>
          <w:szCs w:val="22"/>
          <w:lang w:val="es-ES"/>
        </w:rPr>
        <w:t> ayuda a centrar la negociación en una referencia objetiva.</w:t>
      </w:r>
    </w:p>
    <w:p w14:paraId="7EF5CAAE" w14:textId="77777777" w:rsidR="00CF4ACA" w:rsidRPr="00CF4ACA" w:rsidRDefault="00CF4ACA" w:rsidP="00CF4ACA">
      <w:pPr>
        <w:numPr>
          <w:ilvl w:val="0"/>
          <w:numId w:val="16"/>
        </w:numPr>
        <w:spacing w:line="276" w:lineRule="auto"/>
        <w:rPr>
          <w:rFonts w:ascii="Times New Roman" w:hAnsi="Times New Roman" w:cs="Times New Roman"/>
          <w:sz w:val="22"/>
          <w:szCs w:val="22"/>
          <w:lang w:val="es-ES"/>
        </w:rPr>
      </w:pPr>
      <w:r w:rsidRPr="00CF4ACA">
        <w:rPr>
          <w:rFonts w:ascii="Times New Roman" w:hAnsi="Times New Roman" w:cs="Times New Roman"/>
          <w:b/>
          <w:bCs/>
          <w:sz w:val="22"/>
          <w:szCs w:val="22"/>
          <w:lang w:val="es-ES"/>
        </w:rPr>
        <w:t>Concretar las alternativas:</w:t>
      </w:r>
      <w:r w:rsidRPr="00CF4ACA">
        <w:rPr>
          <w:rFonts w:ascii="Times New Roman" w:hAnsi="Times New Roman" w:cs="Times New Roman"/>
          <w:sz w:val="22"/>
          <w:szCs w:val="22"/>
          <w:lang w:val="es-ES"/>
        </w:rPr>
        <w:t> venta a un tercero, adjudicación a uno de los hermanos o reparto con otros bienes, si todavía procede.</w:t>
      </w:r>
    </w:p>
    <w:p w14:paraId="366D8081" w14:textId="77777777" w:rsidR="00CF4ACA" w:rsidRPr="00CF4ACA" w:rsidRDefault="00CF4ACA" w:rsidP="00CF4ACA">
      <w:pPr>
        <w:numPr>
          <w:ilvl w:val="0"/>
          <w:numId w:val="16"/>
        </w:numPr>
        <w:spacing w:line="276" w:lineRule="auto"/>
        <w:rPr>
          <w:rFonts w:ascii="Times New Roman" w:hAnsi="Times New Roman" w:cs="Times New Roman"/>
          <w:sz w:val="22"/>
          <w:szCs w:val="22"/>
          <w:lang w:val="es-ES"/>
        </w:rPr>
      </w:pPr>
      <w:r w:rsidRPr="00CF4ACA">
        <w:rPr>
          <w:rFonts w:ascii="Times New Roman" w:hAnsi="Times New Roman" w:cs="Times New Roman"/>
          <w:b/>
          <w:bCs/>
          <w:sz w:val="22"/>
          <w:szCs w:val="22"/>
          <w:lang w:val="es-ES"/>
        </w:rPr>
        <w:t>Documentar la propuesta:</w:t>
      </w:r>
      <w:r w:rsidRPr="00CF4ACA">
        <w:rPr>
          <w:rFonts w:ascii="Times New Roman" w:hAnsi="Times New Roman" w:cs="Times New Roman"/>
          <w:sz w:val="22"/>
          <w:szCs w:val="22"/>
          <w:lang w:val="es-ES"/>
        </w:rPr>
        <w:t> importe, plazos, financiación y condiciones de formalización.</w:t>
      </w:r>
    </w:p>
    <w:p w14:paraId="21E7A21E" w14:textId="77777777" w:rsidR="00CF4ACA" w:rsidRDefault="00CF4ACA" w:rsidP="00CF4ACA">
      <w:pPr>
        <w:spacing w:line="276" w:lineRule="auto"/>
        <w:rPr>
          <w:rFonts w:ascii="Times New Roman" w:hAnsi="Times New Roman" w:cs="Times New Roman"/>
          <w:sz w:val="22"/>
          <w:szCs w:val="22"/>
          <w:lang w:val="es-ES"/>
        </w:rPr>
      </w:pPr>
    </w:p>
    <w:p w14:paraId="4E4316CA" w14:textId="77777777" w:rsidR="00CF4ACA" w:rsidRDefault="00CF4ACA" w:rsidP="00CF4ACA">
      <w:pPr>
        <w:spacing w:line="276" w:lineRule="auto"/>
        <w:rPr>
          <w:rFonts w:ascii="Times New Roman" w:hAnsi="Times New Roman" w:cs="Times New Roman"/>
          <w:sz w:val="22"/>
          <w:szCs w:val="22"/>
          <w:lang w:val="es-ES"/>
        </w:rPr>
      </w:pPr>
      <w:r w:rsidRPr="00CF4ACA">
        <w:rPr>
          <w:rFonts w:ascii="Times New Roman" w:hAnsi="Times New Roman" w:cs="Times New Roman"/>
          <w:sz w:val="22"/>
          <w:szCs w:val="22"/>
          <w:lang w:val="es-ES"/>
        </w:rPr>
        <w:t>El objetivo es que cada hermano conozca sus opciones y las consecuencias de cada decisión antes de asumir compromisos o iniciar un procedimiento.</w:t>
      </w:r>
    </w:p>
    <w:p w14:paraId="7ECE1E91" w14:textId="77777777" w:rsidR="00CF4ACA" w:rsidRPr="00CF4ACA" w:rsidRDefault="00CF4ACA" w:rsidP="00CF4ACA">
      <w:pPr>
        <w:spacing w:line="276" w:lineRule="auto"/>
        <w:rPr>
          <w:rFonts w:ascii="Times New Roman" w:hAnsi="Times New Roman" w:cs="Times New Roman"/>
          <w:sz w:val="22"/>
          <w:szCs w:val="22"/>
          <w:lang w:val="es-ES"/>
        </w:rPr>
      </w:pPr>
    </w:p>
    <w:p w14:paraId="607752B2" w14:textId="77777777" w:rsidR="00672472" w:rsidRPr="00CF4ACA" w:rsidRDefault="00672472" w:rsidP="00CF4ACA">
      <w:pPr>
        <w:spacing w:line="276" w:lineRule="auto"/>
        <w:rPr>
          <w:rFonts w:ascii="Times New Roman" w:hAnsi="Times New Roman" w:cs="Times New Roman"/>
          <w:sz w:val="22"/>
          <w:szCs w:val="22"/>
        </w:rPr>
      </w:pPr>
    </w:p>
    <w:sectPr w:rsidR="00672472" w:rsidRPr="00CF4ACA">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F8D3AE" w14:textId="77777777" w:rsidR="00D923BA" w:rsidRDefault="00D923BA" w:rsidP="007C75E8">
      <w:pPr>
        <w:spacing w:line="240" w:lineRule="auto"/>
      </w:pPr>
      <w:r>
        <w:separator/>
      </w:r>
    </w:p>
  </w:endnote>
  <w:endnote w:type="continuationSeparator" w:id="0">
    <w:p w14:paraId="6729B80A" w14:textId="77777777" w:rsidR="00D923BA" w:rsidRDefault="00D923BA" w:rsidP="007C75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Aptos">
    <w:panose1 w:val="020B0004020202020204"/>
    <w:charset w:val="00"/>
    <w:family w:val="swiss"/>
    <w:pitch w:val="variable"/>
    <w:sig w:usb0="20000287" w:usb1="00000003" w:usb2="00000000" w:usb3="00000000" w:csb0="0000019F" w:csb1="00000000"/>
  </w:font>
  <w:font w:name="Times New Roman (Cuerpo en alfa">
    <w:altName w:val="Times New Roman"/>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 w:name="CG Times (W1)">
    <w:altName w:val="Times New Roman"/>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05340A" w14:textId="77777777" w:rsidR="007C75E8" w:rsidRPr="009F0E8F" w:rsidRDefault="007C75E8" w:rsidP="007C75E8">
    <w:pPr>
      <w:pStyle w:val="Piedepgina"/>
      <w:jc w:val="center"/>
      <w:rPr>
        <w:rFonts w:ascii="CG Times (W1)" w:hAnsi="CG Times (W1)"/>
        <w:color w:val="747474" w:themeColor="background2" w:themeShade="80"/>
        <w:sz w:val="16"/>
        <w:szCs w:val="16"/>
      </w:rPr>
    </w:pPr>
    <w:r w:rsidRPr="009F0E8F">
      <w:rPr>
        <w:rFonts w:ascii="CG Times (W1)" w:hAnsi="CG Times (W1)"/>
        <w:color w:val="747474" w:themeColor="background2" w:themeShade="80"/>
        <w:sz w:val="16"/>
        <w:szCs w:val="16"/>
      </w:rPr>
      <w:t xml:space="preserve">Rambla de Catalunya 123, </w:t>
    </w:r>
    <w:r>
      <w:rPr>
        <w:rFonts w:ascii="CG Times (W1)" w:hAnsi="CG Times (W1)"/>
        <w:color w:val="747474" w:themeColor="background2" w:themeShade="80"/>
        <w:sz w:val="16"/>
        <w:szCs w:val="16"/>
      </w:rPr>
      <w:t>At. 1</w:t>
    </w:r>
  </w:p>
  <w:p w14:paraId="25AA25CC" w14:textId="77777777" w:rsidR="007C75E8" w:rsidRDefault="007C75E8" w:rsidP="007C75E8">
    <w:pPr>
      <w:pStyle w:val="Piedepgina"/>
      <w:jc w:val="center"/>
      <w:rPr>
        <w:rFonts w:ascii="CG Times (W1)" w:hAnsi="CG Times (W1)"/>
        <w:color w:val="747474" w:themeColor="background2" w:themeShade="80"/>
        <w:sz w:val="16"/>
        <w:szCs w:val="16"/>
      </w:rPr>
    </w:pPr>
    <w:r w:rsidRPr="009F0E8F">
      <w:rPr>
        <w:rFonts w:ascii="CG Times (W1)" w:hAnsi="CG Times (W1)"/>
        <w:color w:val="747474" w:themeColor="background2" w:themeShade="80"/>
        <w:sz w:val="16"/>
        <w:szCs w:val="16"/>
      </w:rPr>
      <w:t xml:space="preserve">Tel. </w:t>
    </w:r>
    <w:r>
      <w:rPr>
        <w:rFonts w:ascii="CG Times (W1)" w:hAnsi="CG Times (W1)"/>
        <w:color w:val="747474" w:themeColor="background2" w:themeShade="80"/>
        <w:sz w:val="16"/>
        <w:szCs w:val="16"/>
      </w:rPr>
      <w:t xml:space="preserve">+34 </w:t>
    </w:r>
    <w:r w:rsidRPr="009F0E8F">
      <w:rPr>
        <w:rFonts w:ascii="CG Times (W1)" w:hAnsi="CG Times (W1)"/>
        <w:color w:val="747474" w:themeColor="background2" w:themeShade="80"/>
        <w:sz w:val="16"/>
        <w:szCs w:val="16"/>
      </w:rPr>
      <w:t>93 238 89 10 – Fax</w:t>
    </w:r>
    <w:r>
      <w:rPr>
        <w:rFonts w:ascii="CG Times (W1)" w:hAnsi="CG Times (W1)"/>
        <w:color w:val="747474" w:themeColor="background2" w:themeShade="80"/>
        <w:sz w:val="16"/>
        <w:szCs w:val="16"/>
      </w:rPr>
      <w:t xml:space="preserve"> +34</w:t>
    </w:r>
    <w:r w:rsidRPr="009F0E8F">
      <w:rPr>
        <w:rFonts w:ascii="CG Times (W1)" w:hAnsi="CG Times (W1)"/>
        <w:color w:val="747474" w:themeColor="background2" w:themeShade="80"/>
        <w:sz w:val="16"/>
        <w:szCs w:val="16"/>
      </w:rPr>
      <w:t xml:space="preserve"> 93 238 01 56</w:t>
    </w:r>
  </w:p>
  <w:p w14:paraId="0B78C580" w14:textId="77777777" w:rsidR="00BD7F26" w:rsidRPr="009F0E8F" w:rsidRDefault="00BD7F26" w:rsidP="00BD7F26">
    <w:pPr>
      <w:pStyle w:val="Piedepgina"/>
      <w:jc w:val="center"/>
      <w:rPr>
        <w:rFonts w:ascii="CG Times (W1)" w:hAnsi="CG Times (W1)"/>
        <w:color w:val="747474" w:themeColor="background2" w:themeShade="80"/>
        <w:sz w:val="16"/>
        <w:szCs w:val="16"/>
      </w:rPr>
    </w:pPr>
    <w:hyperlink r:id="rId1" w:history="1">
      <w:r w:rsidRPr="00F55875">
        <w:rPr>
          <w:rStyle w:val="Hipervnculo"/>
          <w:rFonts w:ascii="CG Times (W1)" w:hAnsi="CG Times (W1)"/>
          <w:sz w:val="16"/>
          <w:szCs w:val="16"/>
        </w:rPr>
        <w:t>info@maluquerabogados.com</w:t>
      </w:r>
    </w:hyperlink>
  </w:p>
  <w:p w14:paraId="333D706E" w14:textId="77777777" w:rsidR="007C75E8" w:rsidRPr="009F0E8F" w:rsidRDefault="007C75E8" w:rsidP="007C75E8">
    <w:pPr>
      <w:pStyle w:val="Piedepgina"/>
      <w:jc w:val="center"/>
      <w:rPr>
        <w:rFonts w:ascii="CG Times (W1)" w:hAnsi="CG Times (W1)"/>
        <w:color w:val="747474" w:themeColor="background2" w:themeShade="80"/>
        <w:sz w:val="16"/>
        <w:szCs w:val="16"/>
      </w:rPr>
    </w:pPr>
    <w:r w:rsidRPr="009F0E8F">
      <w:rPr>
        <w:rFonts w:ascii="CG Times (W1)" w:hAnsi="CG Times (W1)"/>
        <w:color w:val="747474" w:themeColor="background2" w:themeShade="80"/>
        <w:sz w:val="16"/>
        <w:szCs w:val="16"/>
      </w:rPr>
      <w:t>08008 Barcelona</w:t>
    </w:r>
  </w:p>
  <w:p w14:paraId="570EF6E3" w14:textId="77777777" w:rsidR="007C75E8" w:rsidRPr="007C75E8" w:rsidRDefault="007C75E8" w:rsidP="007C75E8">
    <w:pPr>
      <w:pStyle w:val="Piedepgina"/>
      <w:jc w:val="center"/>
      <w:rPr>
        <w:rFonts w:ascii="CG Times (W1)" w:hAnsi="CG Times (W1)"/>
        <w:color w:val="747474" w:themeColor="background2" w:themeShade="80"/>
        <w:sz w:val="16"/>
        <w:szCs w:val="16"/>
      </w:rPr>
    </w:pPr>
    <w:r w:rsidRPr="00840DB7">
      <w:rPr>
        <w:rFonts w:ascii="CG Times (W1)" w:hAnsi="CG Times (W1)"/>
        <w:color w:val="747474" w:themeColor="background2" w:themeShade="80"/>
        <w:sz w:val="16"/>
        <w:szCs w:val="16"/>
      </w:rPr>
      <w:t>www.maluquerabogados.com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A24931" w14:textId="77777777" w:rsidR="00D923BA" w:rsidRDefault="00D923BA" w:rsidP="007C75E8">
      <w:pPr>
        <w:spacing w:line="240" w:lineRule="auto"/>
      </w:pPr>
      <w:r>
        <w:separator/>
      </w:r>
    </w:p>
  </w:footnote>
  <w:footnote w:type="continuationSeparator" w:id="0">
    <w:p w14:paraId="1A902912" w14:textId="77777777" w:rsidR="00D923BA" w:rsidRDefault="00D923BA" w:rsidP="007C75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C1C37E" w14:textId="77777777" w:rsidR="007C75E8" w:rsidRDefault="007C75E8">
    <w:pPr>
      <w:pStyle w:val="Encabezado"/>
    </w:pPr>
    <w:r>
      <w:rPr>
        <w:noProof/>
      </w:rPr>
      <w:drawing>
        <wp:anchor distT="0" distB="0" distL="114300" distR="114300" simplePos="0" relativeHeight="251659264" behindDoc="0" locked="0" layoutInCell="1" allowOverlap="1" wp14:anchorId="61E00DF1" wp14:editId="16AC0CCA">
          <wp:simplePos x="0" y="0"/>
          <wp:positionH relativeFrom="column">
            <wp:posOffset>1954530</wp:posOffset>
          </wp:positionH>
          <wp:positionV relativeFrom="paragraph">
            <wp:posOffset>-70485</wp:posOffset>
          </wp:positionV>
          <wp:extent cx="1308100" cy="252730"/>
          <wp:effectExtent l="0" t="0" r="0" b="1270"/>
          <wp:wrapThrough wrapText="bothSides">
            <wp:wrapPolygon edited="0">
              <wp:start x="0" y="0"/>
              <wp:lineTo x="0" y="20623"/>
              <wp:lineTo x="12163" y="20623"/>
              <wp:lineTo x="21390" y="15196"/>
              <wp:lineTo x="21390" y="10854"/>
              <wp:lineTo x="20971" y="0"/>
              <wp:lineTo x="0" y="0"/>
            </wp:wrapPolygon>
          </wp:wrapThrough>
          <wp:docPr id="1446324253"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324253" name="Imagen 1" descr="Imagen que contiene 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308100" cy="2527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E4CCB"/>
    <w:multiLevelType w:val="multilevel"/>
    <w:tmpl w:val="BB321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F81D1F"/>
    <w:multiLevelType w:val="hybridMultilevel"/>
    <w:tmpl w:val="B9D6C82A"/>
    <w:lvl w:ilvl="0" w:tplc="6A801840">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5595130"/>
    <w:multiLevelType w:val="hybridMultilevel"/>
    <w:tmpl w:val="E28CC8F0"/>
    <w:lvl w:ilvl="0" w:tplc="E7F8C436">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118268F6"/>
    <w:multiLevelType w:val="hybridMultilevel"/>
    <w:tmpl w:val="CE32D2D0"/>
    <w:lvl w:ilvl="0" w:tplc="040A001B">
      <w:start w:val="1"/>
      <w:numFmt w:val="lowerRoman"/>
      <w:lvlText w:val="%1."/>
      <w:lvlJc w:val="right"/>
      <w:pPr>
        <w:ind w:left="1776" w:hanging="360"/>
      </w:pPr>
    </w:lvl>
    <w:lvl w:ilvl="1" w:tplc="040A0019" w:tentative="1">
      <w:start w:val="1"/>
      <w:numFmt w:val="lowerLetter"/>
      <w:lvlText w:val="%2."/>
      <w:lvlJc w:val="left"/>
      <w:pPr>
        <w:ind w:left="2496" w:hanging="360"/>
      </w:pPr>
    </w:lvl>
    <w:lvl w:ilvl="2" w:tplc="040A001B" w:tentative="1">
      <w:start w:val="1"/>
      <w:numFmt w:val="lowerRoman"/>
      <w:lvlText w:val="%3."/>
      <w:lvlJc w:val="right"/>
      <w:pPr>
        <w:ind w:left="3216" w:hanging="180"/>
      </w:pPr>
    </w:lvl>
    <w:lvl w:ilvl="3" w:tplc="040A000F" w:tentative="1">
      <w:start w:val="1"/>
      <w:numFmt w:val="decimal"/>
      <w:lvlText w:val="%4."/>
      <w:lvlJc w:val="left"/>
      <w:pPr>
        <w:ind w:left="3936" w:hanging="360"/>
      </w:pPr>
    </w:lvl>
    <w:lvl w:ilvl="4" w:tplc="040A0019" w:tentative="1">
      <w:start w:val="1"/>
      <w:numFmt w:val="lowerLetter"/>
      <w:lvlText w:val="%5."/>
      <w:lvlJc w:val="left"/>
      <w:pPr>
        <w:ind w:left="4656" w:hanging="360"/>
      </w:pPr>
    </w:lvl>
    <w:lvl w:ilvl="5" w:tplc="040A001B" w:tentative="1">
      <w:start w:val="1"/>
      <w:numFmt w:val="lowerRoman"/>
      <w:lvlText w:val="%6."/>
      <w:lvlJc w:val="right"/>
      <w:pPr>
        <w:ind w:left="5376" w:hanging="180"/>
      </w:pPr>
    </w:lvl>
    <w:lvl w:ilvl="6" w:tplc="040A000F" w:tentative="1">
      <w:start w:val="1"/>
      <w:numFmt w:val="decimal"/>
      <w:lvlText w:val="%7."/>
      <w:lvlJc w:val="left"/>
      <w:pPr>
        <w:ind w:left="6096" w:hanging="360"/>
      </w:pPr>
    </w:lvl>
    <w:lvl w:ilvl="7" w:tplc="040A0019" w:tentative="1">
      <w:start w:val="1"/>
      <w:numFmt w:val="lowerLetter"/>
      <w:lvlText w:val="%8."/>
      <w:lvlJc w:val="left"/>
      <w:pPr>
        <w:ind w:left="6816" w:hanging="360"/>
      </w:pPr>
    </w:lvl>
    <w:lvl w:ilvl="8" w:tplc="040A001B" w:tentative="1">
      <w:start w:val="1"/>
      <w:numFmt w:val="lowerRoman"/>
      <w:lvlText w:val="%9."/>
      <w:lvlJc w:val="right"/>
      <w:pPr>
        <w:ind w:left="7536" w:hanging="180"/>
      </w:pPr>
    </w:lvl>
  </w:abstractNum>
  <w:abstractNum w:abstractNumId="4" w15:restartNumberingAfterBreak="0">
    <w:nsid w:val="176237CF"/>
    <w:multiLevelType w:val="multilevel"/>
    <w:tmpl w:val="6DAC01C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5" w15:restartNumberingAfterBreak="0">
    <w:nsid w:val="28213E3E"/>
    <w:multiLevelType w:val="hybridMultilevel"/>
    <w:tmpl w:val="B6C2B522"/>
    <w:lvl w:ilvl="0" w:tplc="3408A0DC">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290555F7"/>
    <w:multiLevelType w:val="hybridMultilevel"/>
    <w:tmpl w:val="0A8E6CF0"/>
    <w:lvl w:ilvl="0" w:tplc="84E85004">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37050017"/>
    <w:multiLevelType w:val="hybridMultilevel"/>
    <w:tmpl w:val="45C86EB8"/>
    <w:lvl w:ilvl="0" w:tplc="F376A884">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3FA02C04"/>
    <w:multiLevelType w:val="hybridMultilevel"/>
    <w:tmpl w:val="C7A6CC94"/>
    <w:lvl w:ilvl="0" w:tplc="FF9232DE">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42C06FAC"/>
    <w:multiLevelType w:val="multilevel"/>
    <w:tmpl w:val="CB44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757D83"/>
    <w:multiLevelType w:val="multilevel"/>
    <w:tmpl w:val="9B70B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65675B"/>
    <w:multiLevelType w:val="multilevel"/>
    <w:tmpl w:val="A8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AD0602"/>
    <w:multiLevelType w:val="multilevel"/>
    <w:tmpl w:val="756E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1C1C91"/>
    <w:multiLevelType w:val="hybridMultilevel"/>
    <w:tmpl w:val="37D4435A"/>
    <w:lvl w:ilvl="0" w:tplc="9F9A800E">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5E007853"/>
    <w:multiLevelType w:val="multilevel"/>
    <w:tmpl w:val="050264AE"/>
    <w:lvl w:ilvl="0">
      <w:start w:val="1"/>
      <w:numFmt w:val="lowerRoman"/>
      <w:lvlText w:val="%1."/>
      <w:lvlJc w:val="right"/>
      <w:pPr>
        <w:ind w:left="1440" w:hanging="360"/>
      </w:pPr>
      <w:rPr>
        <w:rFont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5" w15:restartNumberingAfterBreak="0">
    <w:nsid w:val="638B1DE0"/>
    <w:multiLevelType w:val="hybridMultilevel"/>
    <w:tmpl w:val="69BE279C"/>
    <w:lvl w:ilvl="0" w:tplc="6FA23C2A">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46285517">
    <w:abstractNumId w:val="1"/>
  </w:num>
  <w:num w:numId="2" w16cid:durableId="743530030">
    <w:abstractNumId w:val="13"/>
  </w:num>
  <w:num w:numId="3" w16cid:durableId="369116407">
    <w:abstractNumId w:val="8"/>
  </w:num>
  <w:num w:numId="4" w16cid:durableId="1381514010">
    <w:abstractNumId w:val="4"/>
  </w:num>
  <w:num w:numId="5" w16cid:durableId="1581980389">
    <w:abstractNumId w:val="14"/>
  </w:num>
  <w:num w:numId="6" w16cid:durableId="1150832344">
    <w:abstractNumId w:val="7"/>
  </w:num>
  <w:num w:numId="7" w16cid:durableId="506095452">
    <w:abstractNumId w:val="2"/>
  </w:num>
  <w:num w:numId="8" w16cid:durableId="441801762">
    <w:abstractNumId w:val="6"/>
  </w:num>
  <w:num w:numId="9" w16cid:durableId="50619756">
    <w:abstractNumId w:val="15"/>
  </w:num>
  <w:num w:numId="10" w16cid:durableId="1071197487">
    <w:abstractNumId w:val="3"/>
  </w:num>
  <w:num w:numId="11" w16cid:durableId="880943459">
    <w:abstractNumId w:val="5"/>
  </w:num>
  <w:num w:numId="12" w16cid:durableId="1728408117">
    <w:abstractNumId w:val="10"/>
  </w:num>
  <w:num w:numId="13" w16cid:durableId="1698774602">
    <w:abstractNumId w:val="12"/>
  </w:num>
  <w:num w:numId="14" w16cid:durableId="510490470">
    <w:abstractNumId w:val="9"/>
  </w:num>
  <w:num w:numId="15" w16cid:durableId="1782068242">
    <w:abstractNumId w:val="0"/>
  </w:num>
  <w:num w:numId="16" w16cid:durableId="313222140">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19E"/>
    <w:rsid w:val="00070B6A"/>
    <w:rsid w:val="000B21A7"/>
    <w:rsid w:val="000C44AB"/>
    <w:rsid w:val="000F536E"/>
    <w:rsid w:val="001103DB"/>
    <w:rsid w:val="00112648"/>
    <w:rsid w:val="00126604"/>
    <w:rsid w:val="00283EB9"/>
    <w:rsid w:val="002967CB"/>
    <w:rsid w:val="00316F84"/>
    <w:rsid w:val="00340224"/>
    <w:rsid w:val="003740E9"/>
    <w:rsid w:val="003D200C"/>
    <w:rsid w:val="00440BF9"/>
    <w:rsid w:val="0045119E"/>
    <w:rsid w:val="00490DF6"/>
    <w:rsid w:val="004B694D"/>
    <w:rsid w:val="004F6FB7"/>
    <w:rsid w:val="005152F8"/>
    <w:rsid w:val="00542B4D"/>
    <w:rsid w:val="00572843"/>
    <w:rsid w:val="005D2605"/>
    <w:rsid w:val="00672472"/>
    <w:rsid w:val="006E6914"/>
    <w:rsid w:val="00727C21"/>
    <w:rsid w:val="0077001B"/>
    <w:rsid w:val="007B1921"/>
    <w:rsid w:val="007C75E8"/>
    <w:rsid w:val="00820732"/>
    <w:rsid w:val="008247BE"/>
    <w:rsid w:val="00825D4D"/>
    <w:rsid w:val="00855ED8"/>
    <w:rsid w:val="008E139A"/>
    <w:rsid w:val="00934395"/>
    <w:rsid w:val="00937B71"/>
    <w:rsid w:val="00A344A3"/>
    <w:rsid w:val="00B05B16"/>
    <w:rsid w:val="00BC2D4D"/>
    <w:rsid w:val="00BD7F26"/>
    <w:rsid w:val="00C66E9E"/>
    <w:rsid w:val="00CF4ACA"/>
    <w:rsid w:val="00D923BA"/>
    <w:rsid w:val="00E360A4"/>
    <w:rsid w:val="00F30DA4"/>
    <w:rsid w:val="00F97675"/>
    <w:rsid w:val="00FA6391"/>
    <w:rsid w:val="00FF26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BDB5F"/>
  <w15:chartTrackingRefBased/>
  <w15:docId w15:val="{8BBF902B-058B-45C5-A4EA-3784CABC2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w:eastAsiaTheme="minorHAnsi" w:hAnsi="Helvetica" w:cs="Times New Roman (Cuerpo en alfa"/>
        <w:kern w:val="2"/>
        <w:sz w:val="22"/>
        <w:szCs w:val="22"/>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5E8"/>
    <w:pPr>
      <w:spacing w:line="360" w:lineRule="auto"/>
      <w:jc w:val="both"/>
    </w:pPr>
    <w:rPr>
      <w:rFonts w:cstheme="minorBidi"/>
      <w:sz w:val="24"/>
      <w:szCs w:val="24"/>
      <w:lang w:val="ca-ES"/>
    </w:rPr>
  </w:style>
  <w:style w:type="paragraph" w:styleId="Ttulo1">
    <w:name w:val="heading 1"/>
    <w:basedOn w:val="Normal"/>
    <w:next w:val="Normal"/>
    <w:link w:val="Ttulo1Car"/>
    <w:autoRedefine/>
    <w:uiPriority w:val="9"/>
    <w:qFormat/>
    <w:rsid w:val="00A344A3"/>
    <w:pPr>
      <w:outlineLvl w:val="0"/>
    </w:pPr>
    <w:rPr>
      <w:rFonts w:ascii="Cambria" w:hAnsi="Cambria"/>
      <w:b/>
      <w:bCs/>
      <w:sz w:val="28"/>
      <w:szCs w:val="28"/>
      <w:lang w:val="es-ES"/>
    </w:rPr>
  </w:style>
  <w:style w:type="paragraph" w:styleId="Ttulo2">
    <w:name w:val="heading 2"/>
    <w:basedOn w:val="Normal"/>
    <w:next w:val="Normal"/>
    <w:link w:val="Ttulo2Car"/>
    <w:autoRedefine/>
    <w:uiPriority w:val="9"/>
    <w:unhideWhenUsed/>
    <w:qFormat/>
    <w:rsid w:val="00A344A3"/>
    <w:pPr>
      <w:outlineLvl w:val="1"/>
    </w:pPr>
    <w:rPr>
      <w:rFonts w:ascii="Cambria" w:hAnsi="Cambria"/>
      <w:b/>
      <w:bCs/>
      <w:color w:val="156082" w:themeColor="accent1"/>
      <w:u w:val="single"/>
      <w:lang w:val="es-ES"/>
    </w:rPr>
  </w:style>
  <w:style w:type="paragraph" w:styleId="Ttulo3">
    <w:name w:val="heading 3"/>
    <w:basedOn w:val="Normal"/>
    <w:next w:val="Normal"/>
    <w:link w:val="Ttulo3Car"/>
    <w:uiPriority w:val="9"/>
    <w:semiHidden/>
    <w:unhideWhenUsed/>
    <w:qFormat/>
    <w:rsid w:val="007C75E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C75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7C75E8"/>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7C75E8"/>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7C75E8"/>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7C75E8"/>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7C75E8"/>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344A3"/>
    <w:rPr>
      <w:rFonts w:ascii="Cambria" w:hAnsi="Cambria" w:cstheme="minorBidi"/>
      <w:b/>
      <w:bCs/>
      <w:sz w:val="28"/>
      <w:szCs w:val="28"/>
    </w:rPr>
  </w:style>
  <w:style w:type="character" w:customStyle="1" w:styleId="Ttulo2Car">
    <w:name w:val="Título 2 Car"/>
    <w:basedOn w:val="Fuentedeprrafopredeter"/>
    <w:link w:val="Ttulo2"/>
    <w:uiPriority w:val="9"/>
    <w:rsid w:val="00A344A3"/>
    <w:rPr>
      <w:rFonts w:ascii="Cambria" w:hAnsi="Cambria" w:cstheme="minorBidi"/>
      <w:b/>
      <w:bCs/>
      <w:color w:val="156082" w:themeColor="accent1"/>
      <w:sz w:val="24"/>
      <w:szCs w:val="24"/>
      <w:u w:val="single"/>
    </w:rPr>
  </w:style>
  <w:style w:type="character" w:customStyle="1" w:styleId="Ttulo3Car">
    <w:name w:val="Título 3 Car"/>
    <w:basedOn w:val="Fuentedeprrafopredeter"/>
    <w:link w:val="Ttulo3"/>
    <w:uiPriority w:val="9"/>
    <w:semiHidden/>
    <w:rsid w:val="007C75E8"/>
    <w:rPr>
      <w:rFonts w:asciiTheme="minorHAnsi" w:eastAsiaTheme="majorEastAsia" w:hAnsiTheme="minorHAnsi" w:cstheme="majorBidi"/>
      <w:color w:val="0F4761" w:themeColor="accent1" w:themeShade="BF"/>
      <w:sz w:val="28"/>
      <w:szCs w:val="28"/>
      <w:lang w:val="ca-ES"/>
    </w:rPr>
  </w:style>
  <w:style w:type="character" w:customStyle="1" w:styleId="Ttulo4Car">
    <w:name w:val="Título 4 Car"/>
    <w:basedOn w:val="Fuentedeprrafopredeter"/>
    <w:link w:val="Ttulo4"/>
    <w:uiPriority w:val="9"/>
    <w:semiHidden/>
    <w:rsid w:val="007C75E8"/>
    <w:rPr>
      <w:rFonts w:asciiTheme="minorHAnsi" w:eastAsiaTheme="majorEastAsia" w:hAnsiTheme="minorHAnsi" w:cstheme="majorBidi"/>
      <w:i/>
      <w:iCs/>
      <w:color w:val="0F4761" w:themeColor="accent1" w:themeShade="BF"/>
      <w:sz w:val="24"/>
      <w:szCs w:val="24"/>
      <w:lang w:val="ca-ES"/>
    </w:rPr>
  </w:style>
  <w:style w:type="character" w:customStyle="1" w:styleId="Ttulo5Car">
    <w:name w:val="Título 5 Car"/>
    <w:basedOn w:val="Fuentedeprrafopredeter"/>
    <w:link w:val="Ttulo5"/>
    <w:uiPriority w:val="9"/>
    <w:semiHidden/>
    <w:rsid w:val="007C75E8"/>
    <w:rPr>
      <w:rFonts w:asciiTheme="minorHAnsi" w:eastAsiaTheme="majorEastAsia" w:hAnsiTheme="minorHAnsi" w:cstheme="majorBidi"/>
      <w:color w:val="0F4761" w:themeColor="accent1" w:themeShade="BF"/>
      <w:sz w:val="24"/>
      <w:szCs w:val="24"/>
      <w:lang w:val="ca-ES"/>
    </w:rPr>
  </w:style>
  <w:style w:type="character" w:customStyle="1" w:styleId="Ttulo6Car">
    <w:name w:val="Título 6 Car"/>
    <w:basedOn w:val="Fuentedeprrafopredeter"/>
    <w:link w:val="Ttulo6"/>
    <w:uiPriority w:val="9"/>
    <w:semiHidden/>
    <w:rsid w:val="007C75E8"/>
    <w:rPr>
      <w:rFonts w:asciiTheme="minorHAnsi" w:eastAsiaTheme="majorEastAsia" w:hAnsiTheme="minorHAnsi" w:cstheme="majorBidi"/>
      <w:i/>
      <w:iCs/>
      <w:color w:val="595959" w:themeColor="text1" w:themeTint="A6"/>
      <w:sz w:val="24"/>
      <w:szCs w:val="24"/>
      <w:lang w:val="ca-ES"/>
    </w:rPr>
  </w:style>
  <w:style w:type="character" w:customStyle="1" w:styleId="Ttulo7Car">
    <w:name w:val="Título 7 Car"/>
    <w:basedOn w:val="Fuentedeprrafopredeter"/>
    <w:link w:val="Ttulo7"/>
    <w:uiPriority w:val="9"/>
    <w:semiHidden/>
    <w:rsid w:val="007C75E8"/>
    <w:rPr>
      <w:rFonts w:asciiTheme="minorHAnsi" w:eastAsiaTheme="majorEastAsia" w:hAnsiTheme="minorHAnsi" w:cstheme="majorBidi"/>
      <w:color w:val="595959" w:themeColor="text1" w:themeTint="A6"/>
      <w:sz w:val="24"/>
      <w:szCs w:val="24"/>
      <w:lang w:val="ca-ES"/>
    </w:rPr>
  </w:style>
  <w:style w:type="character" w:customStyle="1" w:styleId="Ttulo8Car">
    <w:name w:val="Título 8 Car"/>
    <w:basedOn w:val="Fuentedeprrafopredeter"/>
    <w:link w:val="Ttulo8"/>
    <w:uiPriority w:val="9"/>
    <w:semiHidden/>
    <w:rsid w:val="007C75E8"/>
    <w:rPr>
      <w:rFonts w:asciiTheme="minorHAnsi" w:eastAsiaTheme="majorEastAsia" w:hAnsiTheme="minorHAnsi" w:cstheme="majorBidi"/>
      <w:i/>
      <w:iCs/>
      <w:color w:val="272727" w:themeColor="text1" w:themeTint="D8"/>
      <w:sz w:val="24"/>
      <w:szCs w:val="24"/>
      <w:lang w:val="ca-ES"/>
    </w:rPr>
  </w:style>
  <w:style w:type="character" w:customStyle="1" w:styleId="Ttulo9Car">
    <w:name w:val="Título 9 Car"/>
    <w:basedOn w:val="Fuentedeprrafopredeter"/>
    <w:link w:val="Ttulo9"/>
    <w:uiPriority w:val="9"/>
    <w:semiHidden/>
    <w:rsid w:val="007C75E8"/>
    <w:rPr>
      <w:rFonts w:asciiTheme="minorHAnsi" w:eastAsiaTheme="majorEastAsia" w:hAnsiTheme="minorHAnsi" w:cstheme="majorBidi"/>
      <w:color w:val="272727" w:themeColor="text1" w:themeTint="D8"/>
      <w:sz w:val="24"/>
      <w:szCs w:val="24"/>
      <w:lang w:val="ca-ES"/>
    </w:rPr>
  </w:style>
  <w:style w:type="paragraph" w:styleId="Ttulo">
    <w:name w:val="Title"/>
    <w:basedOn w:val="Normal"/>
    <w:next w:val="Normal"/>
    <w:link w:val="TtuloCar"/>
    <w:uiPriority w:val="10"/>
    <w:qFormat/>
    <w:rsid w:val="007C75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C75E8"/>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7C75E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C75E8"/>
    <w:rPr>
      <w:rFonts w:asciiTheme="minorHAnsi" w:eastAsiaTheme="majorEastAsia" w:hAnsiTheme="minorHAnsi"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7C75E8"/>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7C75E8"/>
    <w:rPr>
      <w:rFonts w:cstheme="minorBidi"/>
      <w:i/>
      <w:iCs/>
      <w:color w:val="404040" w:themeColor="text1" w:themeTint="BF"/>
      <w:sz w:val="24"/>
      <w:szCs w:val="24"/>
      <w:lang w:val="ca-ES"/>
    </w:rPr>
  </w:style>
  <w:style w:type="paragraph" w:styleId="Prrafodelista">
    <w:name w:val="List Paragraph"/>
    <w:basedOn w:val="Normal"/>
    <w:uiPriority w:val="34"/>
    <w:qFormat/>
    <w:rsid w:val="007C75E8"/>
    <w:pPr>
      <w:ind w:left="720"/>
      <w:contextualSpacing/>
    </w:pPr>
  </w:style>
  <w:style w:type="character" w:styleId="nfasisintenso">
    <w:name w:val="Intense Emphasis"/>
    <w:basedOn w:val="Fuentedeprrafopredeter"/>
    <w:uiPriority w:val="21"/>
    <w:qFormat/>
    <w:rsid w:val="007C75E8"/>
    <w:rPr>
      <w:i/>
      <w:iCs/>
      <w:color w:val="0F4761" w:themeColor="accent1" w:themeShade="BF"/>
    </w:rPr>
  </w:style>
  <w:style w:type="paragraph" w:styleId="Citadestacada">
    <w:name w:val="Intense Quote"/>
    <w:basedOn w:val="Normal"/>
    <w:next w:val="Normal"/>
    <w:link w:val="CitadestacadaCar"/>
    <w:uiPriority w:val="30"/>
    <w:qFormat/>
    <w:rsid w:val="007C75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C75E8"/>
    <w:rPr>
      <w:rFonts w:cstheme="minorBidi"/>
      <w:i/>
      <w:iCs/>
      <w:color w:val="0F4761" w:themeColor="accent1" w:themeShade="BF"/>
      <w:sz w:val="24"/>
      <w:szCs w:val="24"/>
      <w:lang w:val="ca-ES"/>
    </w:rPr>
  </w:style>
  <w:style w:type="character" w:styleId="Referenciaintensa">
    <w:name w:val="Intense Reference"/>
    <w:basedOn w:val="Fuentedeprrafopredeter"/>
    <w:uiPriority w:val="32"/>
    <w:qFormat/>
    <w:rsid w:val="007C75E8"/>
    <w:rPr>
      <w:b/>
      <w:bCs/>
      <w:smallCaps/>
      <w:color w:val="0F4761" w:themeColor="accent1" w:themeShade="BF"/>
      <w:spacing w:val="5"/>
    </w:rPr>
  </w:style>
  <w:style w:type="paragraph" w:styleId="Encabezado">
    <w:name w:val="header"/>
    <w:basedOn w:val="Normal"/>
    <w:link w:val="EncabezadoCar"/>
    <w:uiPriority w:val="99"/>
    <w:unhideWhenUsed/>
    <w:rsid w:val="007C75E8"/>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C75E8"/>
    <w:rPr>
      <w:rFonts w:cstheme="minorBidi"/>
      <w:sz w:val="24"/>
      <w:szCs w:val="24"/>
      <w:lang w:val="ca-ES"/>
    </w:rPr>
  </w:style>
  <w:style w:type="paragraph" w:styleId="Piedepgina">
    <w:name w:val="footer"/>
    <w:basedOn w:val="Normal"/>
    <w:link w:val="PiedepginaCar"/>
    <w:uiPriority w:val="99"/>
    <w:unhideWhenUsed/>
    <w:rsid w:val="007C75E8"/>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C75E8"/>
    <w:rPr>
      <w:rFonts w:cstheme="minorBidi"/>
      <w:sz w:val="24"/>
      <w:szCs w:val="24"/>
      <w:lang w:val="ca-ES"/>
    </w:rPr>
  </w:style>
  <w:style w:type="character" w:styleId="Hipervnculo">
    <w:name w:val="Hyperlink"/>
    <w:basedOn w:val="Fuentedeprrafopredeter"/>
    <w:uiPriority w:val="99"/>
    <w:unhideWhenUsed/>
    <w:rsid w:val="00070B6A"/>
    <w:rPr>
      <w:color w:val="467886" w:themeColor="hyperlink"/>
      <w:u w:val="single"/>
    </w:rPr>
  </w:style>
  <w:style w:type="character" w:styleId="Mencinsinresolver">
    <w:name w:val="Unresolved Mention"/>
    <w:basedOn w:val="Fuentedeprrafopredeter"/>
    <w:uiPriority w:val="99"/>
    <w:semiHidden/>
    <w:unhideWhenUsed/>
    <w:rsid w:val="00070B6A"/>
    <w:rPr>
      <w:color w:val="605E5C"/>
      <w:shd w:val="clear" w:color="auto" w:fill="E1DFDD"/>
    </w:rPr>
  </w:style>
  <w:style w:type="character" w:styleId="Hipervnculovisitado">
    <w:name w:val="FollowedHyperlink"/>
    <w:basedOn w:val="Fuentedeprrafopredeter"/>
    <w:uiPriority w:val="99"/>
    <w:semiHidden/>
    <w:unhideWhenUsed/>
    <w:rsid w:val="00CF4AC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nfo@maluquerabogado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luis\AppData\Local\Microsoft\Windows\INetCache\Content.Outlook\8SS4T8I7\Heredar%20un%20piso%20entre%20hermanos-%20que&#769;%20pasa%20si%20uno%20no%20quiere%20vender_.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C:\Users\lluis\AppData\Local\Microsoft\Windows\INetCache\Content.Outlook\8SS4T8I7\Heredar un piso entre hermanos- qué pasa si uno no quiere vender_.dotx</Template>
  <TotalTime>0</TotalTime>
  <Pages>3</Pages>
  <Words>1051</Words>
  <Characters>5783</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lluis</dc:creator>
  <cp:keywords/>
  <dc:description/>
  <cp:lastModifiedBy>Clusellas, Laia</cp:lastModifiedBy>
  <cp:revision>2</cp:revision>
  <cp:lastPrinted>2026-05-15T09:25:00Z</cp:lastPrinted>
  <dcterms:created xsi:type="dcterms:W3CDTF">2026-10-29T10:14:00Z</dcterms:created>
  <dcterms:modified xsi:type="dcterms:W3CDTF">2026-10-29T10:14:00Z</dcterms:modified>
</cp:coreProperties>
</file>